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00" w:rsidRPr="00D114BE" w:rsidRDefault="00A859E4" w:rsidP="00E5396D">
      <w:pPr>
        <w:widowControl/>
        <w:ind w:left="1200" w:right="1200"/>
        <w:jc w:val="center"/>
        <w:rPr>
          <w:rFonts w:ascii="Times New Roman" w:hAnsi="Times New Roman"/>
          <w:b/>
          <w:bCs/>
          <w:sz w:val="24"/>
          <w:szCs w:val="24"/>
        </w:rPr>
      </w:pPr>
      <w:r w:rsidRPr="00D114BE">
        <w:rPr>
          <w:rFonts w:ascii="Times New Roman" w:hAnsi="Times New Roman"/>
          <w:b/>
          <w:bCs/>
          <w:sz w:val="24"/>
          <w:szCs w:val="24"/>
        </w:rPr>
        <w:t xml:space="preserve">SALINGER </w:t>
      </w:r>
      <w:r w:rsidR="00E5396D">
        <w:rPr>
          <w:rFonts w:ascii="Times New Roman" w:hAnsi="Times New Roman"/>
          <w:b/>
          <w:bCs/>
          <w:sz w:val="24"/>
          <w:szCs w:val="24"/>
        </w:rPr>
        <w:t xml:space="preserve">v. </w:t>
      </w:r>
      <w:r w:rsidRPr="00D114BE">
        <w:rPr>
          <w:rFonts w:ascii="Times New Roman" w:hAnsi="Times New Roman"/>
          <w:b/>
          <w:bCs/>
          <w:sz w:val="24"/>
          <w:szCs w:val="24"/>
        </w:rPr>
        <w:t xml:space="preserve">COLTING, </w:t>
      </w:r>
    </w:p>
    <w:p w:rsidR="009D4400" w:rsidRPr="00D114BE" w:rsidRDefault="009D4400">
      <w:pPr>
        <w:widowControl/>
        <w:rPr>
          <w:rFonts w:ascii="Times New Roman" w:hAnsi="Times New Roman"/>
          <w:b/>
          <w:bCs/>
          <w:sz w:val="24"/>
          <w:szCs w:val="24"/>
        </w:rPr>
      </w:pPr>
    </w:p>
    <w:p w:rsidR="009D4400" w:rsidRPr="00D114BE" w:rsidRDefault="00A859E4" w:rsidP="00E5396D">
      <w:pPr>
        <w:widowControl/>
        <w:ind w:left="1200" w:right="1200"/>
        <w:jc w:val="center"/>
        <w:rPr>
          <w:rFonts w:ascii="Times New Roman" w:hAnsi="Times New Roman"/>
          <w:b/>
          <w:bCs/>
          <w:sz w:val="24"/>
          <w:szCs w:val="24"/>
        </w:rPr>
      </w:pPr>
      <w:r w:rsidRPr="00D114BE">
        <w:rPr>
          <w:rFonts w:ascii="Times New Roman" w:hAnsi="Times New Roman"/>
          <w:b/>
          <w:bCs/>
          <w:sz w:val="24"/>
          <w:szCs w:val="24"/>
        </w:rPr>
        <w:t>2010 U.S. App. LEXIS 8956</w:t>
      </w:r>
      <w:r w:rsidR="00E5396D">
        <w:rPr>
          <w:rFonts w:ascii="Times New Roman" w:hAnsi="Times New Roman"/>
          <w:b/>
          <w:bCs/>
          <w:sz w:val="24"/>
          <w:szCs w:val="24"/>
        </w:rPr>
        <w:t xml:space="preserve"> (2d Cir</w:t>
      </w:r>
      <w:proofErr w:type="gramStart"/>
      <w:r w:rsidR="00E5396D">
        <w:rPr>
          <w:rFonts w:ascii="Times New Roman" w:hAnsi="Times New Roman"/>
          <w:b/>
          <w:bCs/>
          <w:sz w:val="24"/>
          <w:szCs w:val="24"/>
        </w:rPr>
        <w:t>.,</w:t>
      </w:r>
      <w:proofErr w:type="gramEnd"/>
      <w:r w:rsidR="00E5396D">
        <w:rPr>
          <w:rFonts w:ascii="Times New Roman" w:hAnsi="Times New Roman"/>
          <w:b/>
          <w:bCs/>
          <w:sz w:val="24"/>
          <w:szCs w:val="24"/>
        </w:rPr>
        <w:t xml:space="preserve"> </w:t>
      </w:r>
      <w:r w:rsidRPr="00D114BE">
        <w:rPr>
          <w:rFonts w:ascii="Times New Roman" w:hAnsi="Times New Roman"/>
          <w:b/>
          <w:bCs/>
          <w:sz w:val="24"/>
          <w:szCs w:val="24"/>
        </w:rPr>
        <w:t>Apri</w:t>
      </w:r>
      <w:r w:rsidR="00E5396D">
        <w:rPr>
          <w:rFonts w:ascii="Times New Roman" w:hAnsi="Times New Roman"/>
          <w:b/>
          <w:bCs/>
          <w:sz w:val="24"/>
          <w:szCs w:val="24"/>
        </w:rPr>
        <w:t>l 30, 2010)</w:t>
      </w:r>
    </w:p>
    <w:p w:rsidR="009D4400" w:rsidRPr="00D114BE" w:rsidRDefault="009D4400">
      <w:pPr>
        <w:widowControl/>
        <w:rPr>
          <w:rFonts w:ascii="Times New Roman" w:hAnsi="Times New Roman"/>
          <w:b/>
          <w:bCs/>
          <w:sz w:val="24"/>
          <w:szCs w:val="24"/>
        </w:rPr>
      </w:pP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Plaintiff-</w:t>
      </w:r>
      <w:proofErr w:type="spellStart"/>
      <w:r w:rsidRPr="00D114BE">
        <w:rPr>
          <w:rFonts w:ascii="Times New Roman" w:hAnsi="Times New Roman"/>
          <w:sz w:val="24"/>
          <w:szCs w:val="24"/>
        </w:rPr>
        <w:t>Appellee</w:t>
      </w:r>
      <w:proofErr w:type="spellEnd"/>
      <w:r w:rsidRPr="00D114BE">
        <w:rPr>
          <w:rFonts w:ascii="Times New Roman" w:hAnsi="Times New Roman"/>
          <w:sz w:val="24"/>
          <w:szCs w:val="24"/>
        </w:rPr>
        <w:t xml:space="preserve"> J.D. Salinger (now represented by trustees of the J.D. Salinger Literary Trust) brought suit in the United States District Court for the Southern District of New York (Deborah A. </w:t>
      </w:r>
      <w:proofErr w:type="spellStart"/>
      <w:r w:rsidRPr="00D114BE">
        <w:rPr>
          <w:rFonts w:ascii="Times New Roman" w:hAnsi="Times New Roman"/>
          <w:sz w:val="24"/>
          <w:szCs w:val="24"/>
        </w:rPr>
        <w:t>Batts</w:t>
      </w:r>
      <w:proofErr w:type="spellEnd"/>
      <w:r w:rsidRPr="00D114BE">
        <w:rPr>
          <w:rFonts w:ascii="Times New Roman" w:hAnsi="Times New Roman"/>
          <w:sz w:val="24"/>
          <w:szCs w:val="24"/>
        </w:rPr>
        <w:t xml:space="preserve">, </w:t>
      </w:r>
      <w:r w:rsidRPr="00D114BE">
        <w:rPr>
          <w:rFonts w:ascii="Times New Roman" w:hAnsi="Times New Roman"/>
          <w:i/>
          <w:iCs/>
          <w:sz w:val="24"/>
          <w:szCs w:val="24"/>
        </w:rPr>
        <w:t>Judge</w:t>
      </w:r>
      <w:r w:rsidRPr="00D114BE">
        <w:rPr>
          <w:rFonts w:ascii="Times New Roman" w:hAnsi="Times New Roman"/>
          <w:sz w:val="24"/>
          <w:szCs w:val="24"/>
        </w:rPr>
        <w:t xml:space="preserve">) against Defendants-Appellants Fredrik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w:t>
      </w:r>
      <w:proofErr w:type="spellStart"/>
      <w:r w:rsidRPr="00D114BE">
        <w:rPr>
          <w:rFonts w:ascii="Times New Roman" w:hAnsi="Times New Roman"/>
          <w:sz w:val="24"/>
          <w:szCs w:val="24"/>
        </w:rPr>
        <w:t>Windupbird</w:t>
      </w:r>
      <w:proofErr w:type="spellEnd"/>
      <w:r w:rsidRPr="00D114BE">
        <w:rPr>
          <w:rFonts w:ascii="Times New Roman" w:hAnsi="Times New Roman"/>
          <w:sz w:val="24"/>
          <w:szCs w:val="24"/>
        </w:rPr>
        <w:t xml:space="preserve"> Publishing, Ltd., </w:t>
      </w:r>
      <w:proofErr w:type="spellStart"/>
      <w:r w:rsidRPr="00D114BE">
        <w:rPr>
          <w:rFonts w:ascii="Times New Roman" w:hAnsi="Times New Roman"/>
          <w:sz w:val="24"/>
          <w:szCs w:val="24"/>
        </w:rPr>
        <w:t>Nicotext</w:t>
      </w:r>
      <w:proofErr w:type="spellEnd"/>
      <w:r w:rsidRPr="00D114BE">
        <w:rPr>
          <w:rFonts w:ascii="Times New Roman" w:hAnsi="Times New Roman"/>
          <w:sz w:val="24"/>
          <w:szCs w:val="24"/>
        </w:rPr>
        <w:t xml:space="preserve"> A.B., and ABP Inc. claiming copyright infringement and unfair competition. Salinger a</w:t>
      </w:r>
      <w:r w:rsidRPr="00D114BE">
        <w:rPr>
          <w:rFonts w:ascii="Times New Roman" w:hAnsi="Times New Roman"/>
          <w:sz w:val="24"/>
          <w:szCs w:val="24"/>
        </w:rPr>
        <w:t>l</w:t>
      </w:r>
      <w:r w:rsidRPr="00D114BE">
        <w:rPr>
          <w:rFonts w:ascii="Times New Roman" w:hAnsi="Times New Roman"/>
          <w:sz w:val="24"/>
          <w:szCs w:val="24"/>
        </w:rPr>
        <w:t xml:space="preserve">leged that </w:t>
      </w:r>
      <w:proofErr w:type="spellStart"/>
      <w:r w:rsidRPr="00D114BE">
        <w:rPr>
          <w:rFonts w:ascii="Times New Roman" w:hAnsi="Times New Roman"/>
          <w:sz w:val="24"/>
          <w:szCs w:val="24"/>
        </w:rPr>
        <w:t>Colting's</w:t>
      </w:r>
      <w:proofErr w:type="spellEnd"/>
      <w:r w:rsidRPr="00D114BE">
        <w:rPr>
          <w:rFonts w:ascii="Times New Roman" w:hAnsi="Times New Roman"/>
          <w:sz w:val="24"/>
          <w:szCs w:val="24"/>
        </w:rPr>
        <w:t xml:space="preserve"> novel </w:t>
      </w:r>
      <w:r w:rsidRPr="00D114BE">
        <w:rPr>
          <w:rFonts w:ascii="Times New Roman" w:hAnsi="Times New Roman"/>
          <w:i/>
          <w:iCs/>
          <w:sz w:val="24"/>
          <w:szCs w:val="24"/>
        </w:rPr>
        <w:t>60 Years Later Coming Through the Rye</w:t>
      </w:r>
      <w:r w:rsidRPr="00D114BE">
        <w:rPr>
          <w:rFonts w:ascii="Times New Roman" w:hAnsi="Times New Roman"/>
          <w:sz w:val="24"/>
          <w:szCs w:val="24"/>
        </w:rPr>
        <w:t xml:space="preserve"> is derivative of Salinger's novel </w:t>
      </w:r>
      <w:r w:rsidRPr="00D114BE">
        <w:rPr>
          <w:rFonts w:ascii="Times New Roman" w:hAnsi="Times New Roman"/>
          <w:i/>
          <w:iCs/>
          <w:sz w:val="24"/>
          <w:szCs w:val="24"/>
        </w:rPr>
        <w:t>The Catcher in the Rye</w:t>
      </w:r>
      <w:r w:rsidRPr="00D114BE">
        <w:rPr>
          <w:rFonts w:ascii="Times New Roman" w:hAnsi="Times New Roman"/>
          <w:sz w:val="24"/>
          <w:szCs w:val="24"/>
        </w:rPr>
        <w:t xml:space="preserve">. The District Court granted Salinger's motion for a preliminary injunction; Defendants appeal. We hold that the Supreme Court's decision in </w:t>
      </w:r>
      <w:r w:rsidRPr="00D114BE">
        <w:rPr>
          <w:rFonts w:ascii="Times New Roman" w:hAnsi="Times New Roman"/>
          <w:i/>
          <w:iCs/>
          <w:sz w:val="24"/>
          <w:szCs w:val="24"/>
        </w:rPr>
        <w:t xml:space="preserve">eBay, Inc. v. </w:t>
      </w:r>
      <w:proofErr w:type="spellStart"/>
      <w:r w:rsidRPr="00D114BE">
        <w:rPr>
          <w:rFonts w:ascii="Times New Roman" w:hAnsi="Times New Roman"/>
          <w:i/>
          <w:iCs/>
          <w:sz w:val="24"/>
          <w:szCs w:val="24"/>
        </w:rPr>
        <w:t>MercExchange</w:t>
      </w:r>
      <w:proofErr w:type="spellEnd"/>
      <w:r w:rsidRPr="00D114BE">
        <w:rPr>
          <w:rFonts w:ascii="Times New Roman" w:hAnsi="Times New Roman"/>
          <w:i/>
          <w:iCs/>
          <w:sz w:val="24"/>
          <w:szCs w:val="24"/>
        </w:rPr>
        <w:t>, L.L.C</w:t>
      </w:r>
      <w:r w:rsidRPr="00D114BE">
        <w:rPr>
          <w:rFonts w:ascii="Times New Roman" w:hAnsi="Times New Roman"/>
          <w:sz w:val="24"/>
          <w:szCs w:val="24"/>
        </w:rPr>
        <w:t>., 547 U.S. 388 (2006), which articulated a four-factor test as to when an injunction may issu</w:t>
      </w:r>
      <w:r w:rsidR="00E5396D">
        <w:rPr>
          <w:rFonts w:ascii="Times New Roman" w:hAnsi="Times New Roman"/>
          <w:sz w:val="24"/>
          <w:szCs w:val="24"/>
        </w:rPr>
        <w:t xml:space="preserve">e, applies with equal force to </w:t>
      </w:r>
      <w:r w:rsidRPr="00D114BE">
        <w:rPr>
          <w:rFonts w:ascii="Times New Roman" w:hAnsi="Times New Roman"/>
          <w:sz w:val="24"/>
          <w:szCs w:val="24"/>
        </w:rPr>
        <w:t>[*3] preliminary injunctions issued on the basis of alleged copyright i</w:t>
      </w:r>
      <w:r w:rsidRPr="00D114BE">
        <w:rPr>
          <w:rFonts w:ascii="Times New Roman" w:hAnsi="Times New Roman"/>
          <w:sz w:val="24"/>
          <w:szCs w:val="24"/>
        </w:rPr>
        <w:t>n</w:t>
      </w:r>
      <w:r w:rsidRPr="00D114BE">
        <w:rPr>
          <w:rFonts w:ascii="Times New Roman" w:hAnsi="Times New Roman"/>
          <w:sz w:val="24"/>
          <w:szCs w:val="24"/>
        </w:rPr>
        <w:t>fringement. Therefore, although we conclude that the District Court properly determined that Sali</w:t>
      </w:r>
      <w:r w:rsidRPr="00D114BE">
        <w:rPr>
          <w:rFonts w:ascii="Times New Roman" w:hAnsi="Times New Roman"/>
          <w:sz w:val="24"/>
          <w:szCs w:val="24"/>
        </w:rPr>
        <w:t>n</w:t>
      </w:r>
      <w:r w:rsidRPr="00D114BE">
        <w:rPr>
          <w:rFonts w:ascii="Times New Roman" w:hAnsi="Times New Roman"/>
          <w:sz w:val="24"/>
          <w:szCs w:val="24"/>
        </w:rPr>
        <w:t xml:space="preserve">ger has a likelihood of success on the merits, we vacate the District Court's order and remand the case to the District Court to apply the </w:t>
      </w:r>
      <w:r w:rsidRPr="00D114BE">
        <w:rPr>
          <w:rFonts w:ascii="Times New Roman" w:hAnsi="Times New Roman"/>
          <w:i/>
          <w:iCs/>
          <w:sz w:val="24"/>
          <w:szCs w:val="24"/>
        </w:rPr>
        <w:t>eBay</w:t>
      </w:r>
      <w:r w:rsidRPr="00D114BE">
        <w:rPr>
          <w:rFonts w:ascii="Times New Roman" w:hAnsi="Times New Roman"/>
          <w:sz w:val="24"/>
          <w:szCs w:val="24"/>
        </w:rPr>
        <w:t xml:space="preserve"> standard.</w:t>
      </w:r>
    </w:p>
    <w:p w:rsidR="00E5396D" w:rsidRDefault="00E5396D" w:rsidP="00E5396D">
      <w:pPr>
        <w:widowControl/>
        <w:spacing w:before="120"/>
        <w:ind w:firstLine="360"/>
        <w:jc w:val="both"/>
        <w:rPr>
          <w:rFonts w:ascii="Times New Roman" w:hAnsi="Times New Roman"/>
          <w:sz w:val="24"/>
          <w:szCs w:val="24"/>
        </w:rPr>
      </w:pP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CALABRESI, </w:t>
      </w:r>
      <w:r w:rsidRPr="00D114BE">
        <w:rPr>
          <w:rFonts w:ascii="Times New Roman" w:hAnsi="Times New Roman"/>
          <w:i/>
          <w:iCs/>
          <w:sz w:val="24"/>
          <w:szCs w:val="24"/>
        </w:rPr>
        <w:t>Circuit Judge</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Defendants-Appellants Fredrik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w:t>
      </w:r>
      <w:proofErr w:type="spellStart"/>
      <w:r w:rsidRPr="00D114BE">
        <w:rPr>
          <w:rFonts w:ascii="Times New Roman" w:hAnsi="Times New Roman"/>
          <w:sz w:val="24"/>
          <w:szCs w:val="24"/>
        </w:rPr>
        <w:t>Windupbird</w:t>
      </w:r>
      <w:proofErr w:type="spellEnd"/>
      <w:r w:rsidRPr="00D114BE">
        <w:rPr>
          <w:rFonts w:ascii="Times New Roman" w:hAnsi="Times New Roman"/>
          <w:sz w:val="24"/>
          <w:szCs w:val="24"/>
        </w:rPr>
        <w:t xml:space="preserve"> Publishing Ltd., </w:t>
      </w:r>
      <w:proofErr w:type="spellStart"/>
      <w:r w:rsidRPr="00D114BE">
        <w:rPr>
          <w:rFonts w:ascii="Times New Roman" w:hAnsi="Times New Roman"/>
          <w:sz w:val="24"/>
          <w:szCs w:val="24"/>
        </w:rPr>
        <w:t>Nicotext</w:t>
      </w:r>
      <w:proofErr w:type="spellEnd"/>
      <w:r w:rsidRPr="00D114BE">
        <w:rPr>
          <w:rFonts w:ascii="Times New Roman" w:hAnsi="Times New Roman"/>
          <w:sz w:val="24"/>
          <w:szCs w:val="24"/>
        </w:rPr>
        <w:t xml:space="preserve"> A.B., and ABP, Inc. appeal from an order of the United States District Court for the Southern District of New York (Deborah A. </w:t>
      </w:r>
      <w:proofErr w:type="spellStart"/>
      <w:r w:rsidRPr="00D114BE">
        <w:rPr>
          <w:rFonts w:ascii="Times New Roman" w:hAnsi="Times New Roman"/>
          <w:sz w:val="24"/>
          <w:szCs w:val="24"/>
        </w:rPr>
        <w:t>Batts</w:t>
      </w:r>
      <w:proofErr w:type="spellEnd"/>
      <w:r w:rsidRPr="00D114BE">
        <w:rPr>
          <w:rFonts w:ascii="Times New Roman" w:hAnsi="Times New Roman"/>
          <w:sz w:val="24"/>
          <w:szCs w:val="24"/>
        </w:rPr>
        <w:t xml:space="preserve">, </w:t>
      </w:r>
      <w:r w:rsidRPr="00D114BE">
        <w:rPr>
          <w:rFonts w:ascii="Times New Roman" w:hAnsi="Times New Roman"/>
          <w:i/>
          <w:iCs/>
          <w:sz w:val="24"/>
          <w:szCs w:val="24"/>
        </w:rPr>
        <w:t>Judge</w:t>
      </w:r>
      <w:r w:rsidRPr="00D114BE">
        <w:rPr>
          <w:rFonts w:ascii="Times New Roman" w:hAnsi="Times New Roman"/>
          <w:sz w:val="24"/>
          <w:szCs w:val="24"/>
        </w:rPr>
        <w:t>) granting Plaintiff-</w:t>
      </w:r>
      <w:proofErr w:type="spellStart"/>
      <w:r w:rsidRPr="00D114BE">
        <w:rPr>
          <w:rFonts w:ascii="Times New Roman" w:hAnsi="Times New Roman"/>
          <w:sz w:val="24"/>
          <w:szCs w:val="24"/>
        </w:rPr>
        <w:t>Appellee</w:t>
      </w:r>
      <w:proofErr w:type="spellEnd"/>
      <w:r w:rsidRPr="00D114BE">
        <w:rPr>
          <w:rFonts w:ascii="Times New Roman" w:hAnsi="Times New Roman"/>
          <w:sz w:val="24"/>
          <w:szCs w:val="24"/>
        </w:rPr>
        <w:t xml:space="preserve"> J.D. Salinger's</w:t>
      </w:r>
      <w:r w:rsidR="00606DED" w:rsidRPr="00D114BE">
        <w:rPr>
          <w:rStyle w:val="FootnoteReference"/>
          <w:rFonts w:ascii="Times New Roman" w:hAnsi="Times New Roman"/>
          <w:sz w:val="24"/>
          <w:szCs w:val="24"/>
        </w:rPr>
        <w:footnoteReference w:id="1"/>
      </w:r>
      <w:r w:rsidRPr="00D114BE">
        <w:rPr>
          <w:rFonts w:ascii="Times New Roman" w:hAnsi="Times New Roman"/>
          <w:sz w:val="24"/>
          <w:szCs w:val="24"/>
        </w:rPr>
        <w:t xml:space="preserve"> motion for a preliminary i</w:t>
      </w:r>
      <w:r w:rsidRPr="00D114BE">
        <w:rPr>
          <w:rFonts w:ascii="Times New Roman" w:hAnsi="Times New Roman"/>
          <w:sz w:val="24"/>
          <w:szCs w:val="24"/>
        </w:rPr>
        <w:t>n</w:t>
      </w:r>
      <w:r w:rsidRPr="00D114BE">
        <w:rPr>
          <w:rFonts w:ascii="Times New Roman" w:hAnsi="Times New Roman"/>
          <w:sz w:val="24"/>
          <w:szCs w:val="24"/>
        </w:rPr>
        <w:t>junction. The District Court's judgment is VACATED and REMANDED.</w:t>
      </w:r>
    </w:p>
    <w:p w:rsidR="009D4400" w:rsidRPr="00D114BE" w:rsidRDefault="009D4400" w:rsidP="00E5396D">
      <w:pPr>
        <w:widowControl/>
        <w:jc w:val="both"/>
        <w:rPr>
          <w:rFonts w:ascii="Times New Roman" w:hAnsi="Times New Roman"/>
          <w:sz w:val="24"/>
          <w:szCs w:val="24"/>
        </w:rPr>
      </w:pPr>
    </w:p>
    <w:p w:rsidR="009D4400" w:rsidRPr="00D114BE" w:rsidRDefault="00A859E4" w:rsidP="00E5396D">
      <w:pPr>
        <w:widowControl/>
        <w:ind w:left="600"/>
        <w:jc w:val="both"/>
        <w:rPr>
          <w:rFonts w:ascii="Times New Roman" w:hAnsi="Times New Roman"/>
          <w:sz w:val="24"/>
          <w:szCs w:val="24"/>
        </w:rPr>
      </w:pPr>
      <w:r w:rsidRPr="00D114BE">
        <w:rPr>
          <w:rFonts w:ascii="Times New Roman" w:hAnsi="Times New Roman"/>
          <w:sz w:val="24"/>
          <w:szCs w:val="24"/>
        </w:rPr>
        <w:t xml:space="preserve">   </w:t>
      </w:r>
    </w:p>
    <w:p w:rsidR="009D4400" w:rsidRPr="00D114BE" w:rsidRDefault="00A859E4" w:rsidP="00E5396D">
      <w:pPr>
        <w:widowControl/>
        <w:jc w:val="center"/>
        <w:rPr>
          <w:rFonts w:ascii="Times New Roman" w:hAnsi="Times New Roman"/>
          <w:sz w:val="24"/>
          <w:szCs w:val="24"/>
        </w:rPr>
      </w:pPr>
      <w:r w:rsidRPr="00D114BE">
        <w:rPr>
          <w:rFonts w:ascii="Times New Roman" w:hAnsi="Times New Roman"/>
          <w:b/>
          <w:bCs/>
          <w:sz w:val="24"/>
          <w:szCs w:val="24"/>
        </w:rPr>
        <w:t>BACKGROUND</w:t>
      </w:r>
    </w:p>
    <w:p w:rsidR="009D4400" w:rsidRPr="00D114BE" w:rsidRDefault="00A859E4" w:rsidP="00E5396D">
      <w:pPr>
        <w:widowControl/>
        <w:spacing w:before="120"/>
        <w:ind w:firstLine="360"/>
        <w:jc w:val="center"/>
        <w:rPr>
          <w:rFonts w:ascii="Times New Roman" w:hAnsi="Times New Roman"/>
          <w:sz w:val="24"/>
          <w:szCs w:val="24"/>
        </w:rPr>
      </w:pPr>
      <w:r w:rsidRPr="00D114BE">
        <w:rPr>
          <w:rFonts w:ascii="Times New Roman" w:hAnsi="Times New Roman"/>
          <w:b/>
          <w:bCs/>
          <w:sz w:val="24"/>
          <w:szCs w:val="24"/>
        </w:rPr>
        <w:t>I</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Salinger published </w:t>
      </w:r>
      <w:r w:rsidRPr="00D114BE">
        <w:rPr>
          <w:rFonts w:ascii="Times New Roman" w:hAnsi="Times New Roman"/>
          <w:i/>
          <w:iCs/>
          <w:sz w:val="24"/>
          <w:szCs w:val="24"/>
        </w:rPr>
        <w:t>The Catcher in the Rye</w:t>
      </w:r>
      <w:r w:rsidRPr="00D114BE">
        <w:rPr>
          <w:rFonts w:ascii="Times New Roman" w:hAnsi="Times New Roman"/>
          <w:sz w:val="24"/>
          <w:szCs w:val="24"/>
        </w:rPr>
        <w:t xml:space="preserve"> (hereinafter "</w:t>
      </w:r>
      <w:r w:rsidRPr="00D114BE">
        <w:rPr>
          <w:rFonts w:ascii="Times New Roman" w:hAnsi="Times New Roman"/>
          <w:i/>
          <w:iCs/>
          <w:sz w:val="24"/>
          <w:szCs w:val="24"/>
        </w:rPr>
        <w:t>Catcher</w:t>
      </w:r>
      <w:r w:rsidRPr="00D114BE">
        <w:rPr>
          <w:rFonts w:ascii="Times New Roman" w:hAnsi="Times New Roman"/>
          <w:sz w:val="24"/>
          <w:szCs w:val="24"/>
        </w:rPr>
        <w:t xml:space="preserve">") in 1951. </w:t>
      </w:r>
      <w:r w:rsidRPr="00D114BE">
        <w:rPr>
          <w:rFonts w:ascii="Times New Roman" w:hAnsi="Times New Roman"/>
          <w:i/>
          <w:iCs/>
          <w:sz w:val="24"/>
          <w:szCs w:val="24"/>
        </w:rPr>
        <w:t>Catcher</w:t>
      </w:r>
      <w:r w:rsidR="00E5396D">
        <w:rPr>
          <w:rFonts w:ascii="Times New Roman" w:hAnsi="Times New Roman"/>
          <w:sz w:val="24"/>
          <w:szCs w:val="24"/>
        </w:rPr>
        <w:t xml:space="preserve"> is a coming-of-age </w:t>
      </w:r>
      <w:r w:rsidRPr="00D114BE">
        <w:rPr>
          <w:rFonts w:ascii="Times New Roman" w:hAnsi="Times New Roman"/>
          <w:sz w:val="24"/>
          <w:szCs w:val="24"/>
        </w:rPr>
        <w:t>[*4] story about a disaffected sixteen-year-old boy, Holden Caulfield, who after being e</w:t>
      </w:r>
      <w:r w:rsidRPr="00D114BE">
        <w:rPr>
          <w:rFonts w:ascii="Times New Roman" w:hAnsi="Times New Roman"/>
          <w:sz w:val="24"/>
          <w:szCs w:val="24"/>
        </w:rPr>
        <w:t>x</w:t>
      </w:r>
      <w:r w:rsidRPr="00D114BE">
        <w:rPr>
          <w:rFonts w:ascii="Times New Roman" w:hAnsi="Times New Roman"/>
          <w:sz w:val="24"/>
          <w:szCs w:val="24"/>
        </w:rPr>
        <w:t xml:space="preserve">pelled from prep school wanders around New York City for several days before returning home. The story is told from Holden's perspective and in his "own strange, wonderful, language." Nash Burger, </w:t>
      </w:r>
      <w:r w:rsidRPr="00D114BE">
        <w:rPr>
          <w:rFonts w:ascii="Times New Roman" w:hAnsi="Times New Roman"/>
          <w:i/>
          <w:iCs/>
          <w:sz w:val="24"/>
          <w:szCs w:val="24"/>
        </w:rPr>
        <w:t>Books of the Times</w:t>
      </w:r>
      <w:r w:rsidRPr="00D114BE">
        <w:rPr>
          <w:rFonts w:ascii="Times New Roman" w:hAnsi="Times New Roman"/>
          <w:sz w:val="24"/>
          <w:szCs w:val="24"/>
        </w:rPr>
        <w:t>, N.Y. Times, July 16, 1951. Holden's adventures highlight the contrast between his cynical portrait of a world full of "phonies" and "crooks" and his love of family, pa</w:t>
      </w:r>
      <w:r w:rsidRPr="00D114BE">
        <w:rPr>
          <w:rFonts w:ascii="Times New Roman" w:hAnsi="Times New Roman"/>
          <w:sz w:val="24"/>
          <w:szCs w:val="24"/>
        </w:rPr>
        <w:t>r</w:t>
      </w:r>
      <w:r w:rsidRPr="00D114BE">
        <w:rPr>
          <w:rFonts w:ascii="Times New Roman" w:hAnsi="Times New Roman"/>
          <w:sz w:val="24"/>
          <w:szCs w:val="24"/>
        </w:rPr>
        <w:t>ticularly his younger sister Phoebe and his deceased younger brother Allie, along with his develo</w:t>
      </w:r>
      <w:r w:rsidRPr="00D114BE">
        <w:rPr>
          <w:rFonts w:ascii="Times New Roman" w:hAnsi="Times New Roman"/>
          <w:sz w:val="24"/>
          <w:szCs w:val="24"/>
        </w:rPr>
        <w:t>p</w:t>
      </w:r>
      <w:r w:rsidRPr="00D114BE">
        <w:rPr>
          <w:rFonts w:ascii="Times New Roman" w:hAnsi="Times New Roman"/>
          <w:sz w:val="24"/>
          <w:szCs w:val="24"/>
        </w:rPr>
        <w:t>ing romantic interest in a childhood friend, Jane Gallagher. While his affection for these individuals pushes him throughout the novel toward human contact, his disillusionment with humanity inclines him toward removing himself from society and living out his days as a recluse. He ultimately aba</w:t>
      </w:r>
      <w:r w:rsidRPr="00D114BE">
        <w:rPr>
          <w:rFonts w:ascii="Times New Roman" w:hAnsi="Times New Roman"/>
          <w:sz w:val="24"/>
          <w:szCs w:val="24"/>
        </w:rPr>
        <w:t>n</w:t>
      </w:r>
      <w:r w:rsidRPr="00D114BE">
        <w:rPr>
          <w:rFonts w:ascii="Times New Roman" w:hAnsi="Times New Roman"/>
          <w:sz w:val="24"/>
          <w:szCs w:val="24"/>
        </w:rPr>
        <w:t>dons his decision to live as recluse when Phoebe insists on accompanying him on his self-imposed exile.</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i/>
          <w:iCs/>
          <w:sz w:val="24"/>
          <w:szCs w:val="24"/>
        </w:rPr>
        <w:t>Catcher</w:t>
      </w:r>
      <w:r w:rsidRPr="00D114BE">
        <w:rPr>
          <w:rFonts w:ascii="Times New Roman" w:hAnsi="Times New Roman"/>
          <w:sz w:val="24"/>
          <w:szCs w:val="24"/>
        </w:rPr>
        <w:t xml:space="preserve"> was an instant success. It was on the </w:t>
      </w:r>
      <w:r w:rsidRPr="00D114BE">
        <w:rPr>
          <w:rFonts w:ascii="Times New Roman" w:hAnsi="Times New Roman"/>
          <w:i/>
          <w:iCs/>
          <w:sz w:val="24"/>
          <w:szCs w:val="24"/>
        </w:rPr>
        <w:t>New York Times</w:t>
      </w:r>
      <w:r w:rsidRPr="00D114BE">
        <w:rPr>
          <w:rFonts w:ascii="Times New Roman" w:hAnsi="Times New Roman"/>
          <w:sz w:val="24"/>
          <w:szCs w:val="24"/>
        </w:rPr>
        <w:t xml:space="preserve"> best-seller list for over seven months and sold more than one million copies in its first ten years. To [*5] date it has sold over 35 million copies, influenced dozens of literary works, and been the subject of "literally reams of crit</w:t>
      </w:r>
      <w:r w:rsidRPr="00D114BE">
        <w:rPr>
          <w:rFonts w:ascii="Times New Roman" w:hAnsi="Times New Roman"/>
          <w:sz w:val="24"/>
          <w:szCs w:val="24"/>
        </w:rPr>
        <w:t>i</w:t>
      </w:r>
      <w:r w:rsidRPr="00D114BE">
        <w:rPr>
          <w:rFonts w:ascii="Times New Roman" w:hAnsi="Times New Roman"/>
          <w:sz w:val="24"/>
          <w:szCs w:val="24"/>
        </w:rPr>
        <w:t>cism and comment</w:t>
      </w:r>
      <w:r w:rsidR="00606DED" w:rsidRPr="00D114BE">
        <w:rPr>
          <w:rFonts w:ascii="Times New Roman" w:hAnsi="Times New Roman"/>
          <w:sz w:val="24"/>
          <w:szCs w:val="24"/>
        </w:rPr>
        <w:t>.</w:t>
      </w:r>
      <w:r w:rsidRPr="00D114BE">
        <w:rPr>
          <w:rFonts w:ascii="Times New Roman" w:hAnsi="Times New Roman"/>
          <w:sz w:val="24"/>
          <w:szCs w:val="24"/>
        </w:rPr>
        <w:t xml:space="preserve">" Literary critic Louis </w:t>
      </w:r>
      <w:proofErr w:type="spellStart"/>
      <w:r w:rsidRPr="00D114BE">
        <w:rPr>
          <w:rFonts w:ascii="Times New Roman" w:hAnsi="Times New Roman"/>
          <w:sz w:val="24"/>
          <w:szCs w:val="24"/>
        </w:rPr>
        <w:t>Menand</w:t>
      </w:r>
      <w:proofErr w:type="spellEnd"/>
      <w:r w:rsidRPr="00D114BE">
        <w:rPr>
          <w:rFonts w:ascii="Times New Roman" w:hAnsi="Times New Roman"/>
          <w:sz w:val="24"/>
          <w:szCs w:val="24"/>
        </w:rPr>
        <w:t xml:space="preserve"> has identified </w:t>
      </w:r>
      <w:r w:rsidRPr="00D114BE">
        <w:rPr>
          <w:rFonts w:ascii="Times New Roman" w:hAnsi="Times New Roman"/>
          <w:i/>
          <w:iCs/>
          <w:sz w:val="24"/>
          <w:szCs w:val="24"/>
        </w:rPr>
        <w:t>Catcher</w:t>
      </w:r>
      <w:r w:rsidRPr="00D114BE">
        <w:rPr>
          <w:rFonts w:ascii="Times New Roman" w:hAnsi="Times New Roman"/>
          <w:sz w:val="24"/>
          <w:szCs w:val="24"/>
        </w:rPr>
        <w:t xml:space="preserve"> "rewrites" as a "literary genre all its own."</w:t>
      </w:r>
      <w:r w:rsidR="00606DED" w:rsidRPr="00D114BE">
        <w:rPr>
          <w:rStyle w:val="FootnoteReference"/>
          <w:rFonts w:ascii="Times New Roman" w:hAnsi="Times New Roman"/>
          <w:sz w:val="24"/>
          <w:szCs w:val="24"/>
        </w:rPr>
        <w:footnoteReference w:id="2"/>
      </w:r>
      <w:r w:rsidR="00606DED" w:rsidRPr="00D114BE">
        <w:rPr>
          <w:rFonts w:ascii="Times New Roman" w:hAnsi="Times New Roman"/>
          <w:sz w:val="24"/>
          <w:szCs w:val="24"/>
        </w:rPr>
        <w:t xml:space="preserve"> </w:t>
      </w:r>
      <w:r w:rsidRPr="00D114BE">
        <w:rPr>
          <w:rFonts w:ascii="Times New Roman" w:hAnsi="Times New Roman"/>
          <w:sz w:val="24"/>
          <w:szCs w:val="24"/>
        </w:rPr>
        <w:t xml:space="preserve"> </w:t>
      </w:r>
      <w:r w:rsidRPr="00D114BE">
        <w:rPr>
          <w:rFonts w:ascii="Times New Roman" w:hAnsi="Times New Roman"/>
          <w:i/>
          <w:iCs/>
          <w:sz w:val="24"/>
          <w:szCs w:val="24"/>
        </w:rPr>
        <w:t>Holden at Fifty: "The Catcher in the Rye" and What It Spawned</w:t>
      </w:r>
      <w:r w:rsidRPr="00D114BE">
        <w:rPr>
          <w:rFonts w:ascii="Times New Roman" w:hAnsi="Times New Roman"/>
          <w:sz w:val="24"/>
          <w:szCs w:val="24"/>
        </w:rPr>
        <w:t>, The New Yorker, Oct. 1, 2001. The Holden character in particular has become a cultural icon of "adolescent alienation and rebellion," a "moral genius" "who refuses to be socialized."</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Inseparable from the </w:t>
      </w:r>
      <w:r w:rsidRPr="00D114BE">
        <w:rPr>
          <w:rFonts w:ascii="Times New Roman" w:hAnsi="Times New Roman"/>
          <w:i/>
          <w:iCs/>
          <w:sz w:val="24"/>
          <w:szCs w:val="24"/>
        </w:rPr>
        <w:t>Catcher</w:t>
      </w:r>
      <w:r w:rsidRPr="00D114BE">
        <w:rPr>
          <w:rFonts w:ascii="Times New Roman" w:hAnsi="Times New Roman"/>
          <w:sz w:val="24"/>
          <w:szCs w:val="24"/>
        </w:rPr>
        <w:t xml:space="preserve"> mystique is the lifestyle of its author, Salinger.</w:t>
      </w:r>
      <w:r w:rsidR="00606DED" w:rsidRPr="00D114BE">
        <w:rPr>
          <w:rStyle w:val="FootnoteReference"/>
          <w:rFonts w:ascii="Times New Roman" w:hAnsi="Times New Roman"/>
          <w:sz w:val="24"/>
          <w:szCs w:val="24"/>
        </w:rPr>
        <w:footnoteReference w:id="3"/>
      </w:r>
      <w:r w:rsidR="00E5396D">
        <w:rPr>
          <w:rFonts w:ascii="Times New Roman" w:hAnsi="Times New Roman"/>
          <w:sz w:val="24"/>
          <w:szCs w:val="24"/>
        </w:rPr>
        <w:t xml:space="preserve"> </w:t>
      </w:r>
      <w:r w:rsidR="00606DED" w:rsidRPr="00D114BE">
        <w:rPr>
          <w:rFonts w:ascii="Times New Roman" w:hAnsi="Times New Roman"/>
          <w:sz w:val="24"/>
          <w:szCs w:val="24"/>
        </w:rPr>
        <w:t xml:space="preserve"> </w:t>
      </w:r>
      <w:r w:rsidRPr="00D114BE">
        <w:rPr>
          <w:rFonts w:ascii="Times New Roman" w:hAnsi="Times New Roman"/>
          <w:sz w:val="24"/>
          <w:szCs w:val="24"/>
        </w:rPr>
        <w:t>Shortly after pu</w:t>
      </w:r>
      <w:r w:rsidRPr="00D114BE">
        <w:rPr>
          <w:rFonts w:ascii="Times New Roman" w:hAnsi="Times New Roman"/>
          <w:sz w:val="24"/>
          <w:szCs w:val="24"/>
        </w:rPr>
        <w:t>b</w:t>
      </w:r>
      <w:r w:rsidRPr="00D114BE">
        <w:rPr>
          <w:rFonts w:ascii="Times New Roman" w:hAnsi="Times New Roman"/>
          <w:sz w:val="24"/>
          <w:szCs w:val="24"/>
        </w:rPr>
        <w:t xml:space="preserve">lishing </w:t>
      </w:r>
      <w:r w:rsidRPr="00D114BE">
        <w:rPr>
          <w:rFonts w:ascii="Times New Roman" w:hAnsi="Times New Roman"/>
          <w:i/>
          <w:iCs/>
          <w:sz w:val="24"/>
          <w:szCs w:val="24"/>
        </w:rPr>
        <w:t>Catcher</w:t>
      </w:r>
      <w:r w:rsidRPr="00D114BE">
        <w:rPr>
          <w:rFonts w:ascii="Times New Roman" w:hAnsi="Times New Roman"/>
          <w:sz w:val="24"/>
          <w:szCs w:val="24"/>
        </w:rPr>
        <w:t xml:space="preserve">, Salinger did what Holden did not do: he removed himself from society. Salinger has not published since 1965 and has never authorized any new narrative involving Holden or any work derivative of </w:t>
      </w:r>
      <w:r w:rsidRPr="00D114BE">
        <w:rPr>
          <w:rFonts w:ascii="Times New Roman" w:hAnsi="Times New Roman"/>
          <w:i/>
          <w:iCs/>
          <w:sz w:val="24"/>
          <w:szCs w:val="24"/>
        </w:rPr>
        <w:t>Catcher</w:t>
      </w:r>
      <w:r w:rsidRPr="00D114BE">
        <w:rPr>
          <w:rFonts w:ascii="Times New Roman" w:hAnsi="Times New Roman"/>
          <w:sz w:val="24"/>
          <w:szCs w:val="24"/>
        </w:rPr>
        <w:t xml:space="preserve">. </w:t>
      </w:r>
      <w:r w:rsidR="00606DED" w:rsidRPr="00D114BE">
        <w:rPr>
          <w:rFonts w:ascii="Times New Roman" w:hAnsi="Times New Roman"/>
          <w:sz w:val="24"/>
          <w:szCs w:val="24"/>
        </w:rPr>
        <w:t xml:space="preserve"> </w:t>
      </w:r>
      <w:r w:rsidRPr="00D114BE">
        <w:rPr>
          <w:rFonts w:ascii="Times New Roman" w:hAnsi="Times New Roman"/>
          <w:sz w:val="24"/>
          <w:szCs w:val="24"/>
        </w:rPr>
        <w:t>Oth</w:t>
      </w:r>
      <w:r w:rsidR="00E5396D">
        <w:rPr>
          <w:rFonts w:ascii="Times New Roman" w:hAnsi="Times New Roman"/>
          <w:sz w:val="24"/>
          <w:szCs w:val="24"/>
        </w:rPr>
        <w:t xml:space="preserve">er than a 1949 film adaptation </w:t>
      </w:r>
      <w:r w:rsidRPr="00D114BE">
        <w:rPr>
          <w:rFonts w:ascii="Times New Roman" w:hAnsi="Times New Roman"/>
          <w:sz w:val="24"/>
          <w:szCs w:val="24"/>
        </w:rPr>
        <w:t>[*6] of one of his early short stories, Salinger has never permitted, and has explicitly instructed his lawyers not to allow, adaptations of his works. He has, however, remained in the public spotlight through a series of legal actions to pr</w:t>
      </w:r>
      <w:r w:rsidRPr="00D114BE">
        <w:rPr>
          <w:rFonts w:ascii="Times New Roman" w:hAnsi="Times New Roman"/>
          <w:sz w:val="24"/>
          <w:szCs w:val="24"/>
        </w:rPr>
        <w:t>o</w:t>
      </w:r>
      <w:r w:rsidRPr="00D114BE">
        <w:rPr>
          <w:rFonts w:ascii="Times New Roman" w:hAnsi="Times New Roman"/>
          <w:sz w:val="24"/>
          <w:szCs w:val="24"/>
        </w:rPr>
        <w:t xml:space="preserve">tect his intellectual property. </w:t>
      </w:r>
      <w:r w:rsidR="00606DED" w:rsidRPr="00D114BE">
        <w:rPr>
          <w:rFonts w:ascii="Times New Roman" w:hAnsi="Times New Roman"/>
          <w:sz w:val="24"/>
          <w:szCs w:val="24"/>
        </w:rPr>
        <w:t xml:space="preserve"> </w:t>
      </w:r>
      <w:r w:rsidRPr="00D114BE">
        <w:rPr>
          <w:rFonts w:ascii="Times New Roman" w:hAnsi="Times New Roman"/>
          <w:sz w:val="24"/>
          <w:szCs w:val="24"/>
        </w:rPr>
        <w:t xml:space="preserve">Salinger has registered and duly renewed his copyright in </w:t>
      </w:r>
      <w:r w:rsidRPr="00D114BE">
        <w:rPr>
          <w:rFonts w:ascii="Times New Roman" w:hAnsi="Times New Roman"/>
          <w:i/>
          <w:iCs/>
          <w:sz w:val="24"/>
          <w:szCs w:val="24"/>
        </w:rPr>
        <w:t>Catcher</w:t>
      </w:r>
      <w:r w:rsidRPr="00D114BE">
        <w:rPr>
          <w:rFonts w:ascii="Times New Roman" w:hAnsi="Times New Roman"/>
          <w:sz w:val="24"/>
          <w:szCs w:val="24"/>
        </w:rPr>
        <w:t xml:space="preserve"> with the U.S. Copyright Office.</w:t>
      </w:r>
    </w:p>
    <w:p w:rsidR="009D4400" w:rsidRPr="00D114BE" w:rsidRDefault="009D4400" w:rsidP="00E5396D">
      <w:pPr>
        <w:widowControl/>
        <w:jc w:val="both"/>
        <w:rPr>
          <w:rFonts w:ascii="Times New Roman" w:hAnsi="Times New Roman"/>
          <w:sz w:val="24"/>
          <w:szCs w:val="24"/>
        </w:rPr>
      </w:pPr>
    </w:p>
    <w:p w:rsidR="009D4400" w:rsidRPr="00D114BE" w:rsidRDefault="00A859E4" w:rsidP="00E5396D">
      <w:pPr>
        <w:widowControl/>
        <w:spacing w:before="120"/>
        <w:ind w:firstLine="360"/>
        <w:jc w:val="center"/>
        <w:rPr>
          <w:rFonts w:ascii="Times New Roman" w:hAnsi="Times New Roman"/>
          <w:sz w:val="24"/>
          <w:szCs w:val="24"/>
        </w:rPr>
      </w:pPr>
      <w:r w:rsidRPr="00D114BE">
        <w:rPr>
          <w:rFonts w:ascii="Times New Roman" w:hAnsi="Times New Roman"/>
          <w:b/>
          <w:bCs/>
          <w:sz w:val="24"/>
          <w:szCs w:val="24"/>
        </w:rPr>
        <w:t>II</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Defendant-Appellant Fredrik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wrote </w:t>
      </w:r>
      <w:r w:rsidRPr="00D114BE">
        <w:rPr>
          <w:rFonts w:ascii="Times New Roman" w:hAnsi="Times New Roman"/>
          <w:i/>
          <w:iCs/>
          <w:sz w:val="24"/>
          <w:szCs w:val="24"/>
        </w:rPr>
        <w:t>60 Years Later: Coming Through the Rye</w:t>
      </w:r>
      <w:r w:rsidRPr="00D114BE">
        <w:rPr>
          <w:rFonts w:ascii="Times New Roman" w:hAnsi="Times New Roman"/>
          <w:sz w:val="24"/>
          <w:szCs w:val="24"/>
        </w:rPr>
        <w:t xml:space="preserve"> </w:t>
      </w:r>
      <w:r w:rsidR="00977A9B" w:rsidRPr="00D114BE">
        <w:rPr>
          <w:rFonts w:ascii="Times New Roman" w:hAnsi="Times New Roman"/>
          <w:sz w:val="24"/>
          <w:szCs w:val="24"/>
        </w:rPr>
        <w:t>“</w:t>
      </w:r>
      <w:r w:rsidRPr="00D114BE">
        <w:rPr>
          <w:rFonts w:ascii="Times New Roman" w:hAnsi="Times New Roman"/>
          <w:sz w:val="24"/>
          <w:szCs w:val="24"/>
        </w:rPr>
        <w:t xml:space="preserve"> under the pen name "John David California."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published </w:t>
      </w:r>
      <w:r w:rsidRPr="00D114BE">
        <w:rPr>
          <w:rFonts w:ascii="Times New Roman" w:hAnsi="Times New Roman"/>
          <w:i/>
          <w:iCs/>
          <w:sz w:val="24"/>
          <w:szCs w:val="24"/>
        </w:rPr>
        <w:t xml:space="preserve">60 Years </w:t>
      </w:r>
      <w:proofErr w:type="gramStart"/>
      <w:r w:rsidRPr="00D114BE">
        <w:rPr>
          <w:rFonts w:ascii="Times New Roman" w:hAnsi="Times New Roman"/>
          <w:i/>
          <w:iCs/>
          <w:sz w:val="24"/>
          <w:szCs w:val="24"/>
        </w:rPr>
        <w:t>Later</w:t>
      </w:r>
      <w:proofErr w:type="gramEnd"/>
      <w:r w:rsidRPr="00D114BE">
        <w:rPr>
          <w:rFonts w:ascii="Times New Roman" w:hAnsi="Times New Roman"/>
          <w:sz w:val="24"/>
          <w:szCs w:val="24"/>
        </w:rPr>
        <w:t xml:space="preserve"> with his own publishing company, Defendant-Appellant </w:t>
      </w:r>
      <w:proofErr w:type="spellStart"/>
      <w:r w:rsidRPr="00D114BE">
        <w:rPr>
          <w:rFonts w:ascii="Times New Roman" w:hAnsi="Times New Roman"/>
          <w:sz w:val="24"/>
          <w:szCs w:val="24"/>
        </w:rPr>
        <w:t>Windupbird</w:t>
      </w:r>
      <w:proofErr w:type="spellEnd"/>
      <w:r w:rsidRPr="00D114BE">
        <w:rPr>
          <w:rFonts w:ascii="Times New Roman" w:hAnsi="Times New Roman"/>
          <w:sz w:val="24"/>
          <w:szCs w:val="24"/>
        </w:rPr>
        <w:t xml:space="preserve"> Publishing, Ltd., in England on May 9, 2009. Copies were originally scheduled to be available in the United States on September 15, 2009. </w:t>
      </w:r>
      <w:r w:rsidR="00977A9B" w:rsidRPr="00D114BE">
        <w:rPr>
          <w:rFonts w:ascii="Times New Roman" w:hAnsi="Times New Roman"/>
          <w:sz w:val="24"/>
          <w:szCs w:val="24"/>
        </w:rPr>
        <w:t xml:space="preserve">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did not seek Salinger's permission to publish </w:t>
      </w:r>
      <w:r w:rsidRPr="00D114BE">
        <w:rPr>
          <w:rFonts w:ascii="Times New Roman" w:hAnsi="Times New Roman"/>
          <w:i/>
          <w:iCs/>
          <w:sz w:val="24"/>
          <w:szCs w:val="24"/>
        </w:rPr>
        <w:t>60 Years Later. 60 Years Later</w:t>
      </w:r>
      <w:r w:rsidRPr="00D114BE">
        <w:rPr>
          <w:rFonts w:ascii="Times New Roman" w:hAnsi="Times New Roman"/>
          <w:sz w:val="24"/>
          <w:szCs w:val="24"/>
        </w:rPr>
        <w:t xml:space="preserve"> tells the story of a 76-year-old Holden Caulfield, referred to as "Mr. C," in a world that includes Mr. C's 90-year-old author, a "fictionalized Salinger."</w:t>
      </w:r>
      <w:r w:rsidR="00977A9B" w:rsidRPr="00D114BE">
        <w:rPr>
          <w:rStyle w:val="FootnoteReference"/>
          <w:rFonts w:ascii="Times New Roman" w:hAnsi="Times New Roman"/>
          <w:sz w:val="24"/>
          <w:szCs w:val="24"/>
        </w:rPr>
        <w:footnoteReference w:id="4"/>
      </w:r>
      <w:r w:rsidRPr="00D114BE">
        <w:rPr>
          <w:rFonts w:ascii="Times New Roman" w:hAnsi="Times New Roman"/>
          <w:sz w:val="24"/>
          <w:szCs w:val="24"/>
        </w:rPr>
        <w:t xml:space="preserve"> The n</w:t>
      </w:r>
      <w:r w:rsidR="00E5396D">
        <w:rPr>
          <w:rFonts w:ascii="Times New Roman" w:hAnsi="Times New Roman"/>
          <w:sz w:val="24"/>
          <w:szCs w:val="24"/>
        </w:rPr>
        <w:t>ovel's premise is that Salinger</w:t>
      </w:r>
      <w:r w:rsidRPr="00D114BE">
        <w:rPr>
          <w:rFonts w:ascii="Times New Roman" w:hAnsi="Times New Roman"/>
          <w:sz w:val="24"/>
          <w:szCs w:val="24"/>
        </w:rPr>
        <w:t xml:space="preserve"> [*7] has been haunted by his creation and now wishes to bring him back to life in order to kill him. Unsurprisingly, this task is easier said than done. As the story progresses, Mr. C becomes increasingly self-aware and able to act in ways contrary to the will of Salinger. After a series of misadventures, Mr. C travels to Cornish, New Hampshire, where he meets Salinger in his home. Salinger finds he is unable to kill Mr. C and i</w:t>
      </w:r>
      <w:r w:rsidRPr="00D114BE">
        <w:rPr>
          <w:rFonts w:ascii="Times New Roman" w:hAnsi="Times New Roman"/>
          <w:sz w:val="24"/>
          <w:szCs w:val="24"/>
        </w:rPr>
        <w:t>n</w:t>
      </w:r>
      <w:r w:rsidRPr="00D114BE">
        <w:rPr>
          <w:rFonts w:ascii="Times New Roman" w:hAnsi="Times New Roman"/>
          <w:sz w:val="24"/>
          <w:szCs w:val="24"/>
        </w:rPr>
        <w:t>stead decides to set him free. The novel concludes with Mr. C reuniting with his younger sister, Phoebe, and an estranged son, Daniel.</w:t>
      </w:r>
    </w:p>
    <w:p w:rsidR="009026E7"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In bringing this suit, Salinger underscores the extensive similarities between </w:t>
      </w:r>
      <w:r w:rsidRPr="00D114BE">
        <w:rPr>
          <w:rFonts w:ascii="Times New Roman" w:hAnsi="Times New Roman"/>
          <w:i/>
          <w:iCs/>
          <w:sz w:val="24"/>
          <w:szCs w:val="24"/>
        </w:rPr>
        <w:t>60 Years Later</w:t>
      </w:r>
      <w:r w:rsidRPr="00D114BE">
        <w:rPr>
          <w:rFonts w:ascii="Times New Roman" w:hAnsi="Times New Roman"/>
          <w:sz w:val="24"/>
          <w:szCs w:val="24"/>
        </w:rPr>
        <w:t xml:space="preserve"> and </w:t>
      </w:r>
      <w:r w:rsidRPr="00D114BE">
        <w:rPr>
          <w:rFonts w:ascii="Times New Roman" w:hAnsi="Times New Roman"/>
          <w:i/>
          <w:iCs/>
          <w:sz w:val="24"/>
          <w:szCs w:val="24"/>
        </w:rPr>
        <w:t>Catcher</w:t>
      </w:r>
      <w:r w:rsidRPr="00D114BE">
        <w:rPr>
          <w:rFonts w:ascii="Times New Roman" w:hAnsi="Times New Roman"/>
          <w:sz w:val="24"/>
          <w:szCs w:val="24"/>
        </w:rPr>
        <w:t>. First, Mr. C is Holden Caulfield. Mr. C narrates like Holden, references events that ha</w:t>
      </w:r>
      <w:r w:rsidRPr="00D114BE">
        <w:rPr>
          <w:rFonts w:ascii="Times New Roman" w:hAnsi="Times New Roman"/>
          <w:sz w:val="24"/>
          <w:szCs w:val="24"/>
        </w:rPr>
        <w:t>p</w:t>
      </w:r>
      <w:r w:rsidRPr="00D114BE">
        <w:rPr>
          <w:rFonts w:ascii="Times New Roman" w:hAnsi="Times New Roman"/>
          <w:sz w:val="24"/>
          <w:szCs w:val="24"/>
        </w:rPr>
        <w:t xml:space="preserve">pened to Holden, and shares many of Holden's notable eccentricities. </w:t>
      </w:r>
      <w:r w:rsidR="009026E7" w:rsidRPr="00D114BE">
        <w:rPr>
          <w:rFonts w:ascii="Times New Roman" w:hAnsi="Times New Roman"/>
          <w:sz w:val="24"/>
          <w:szCs w:val="24"/>
        </w:rPr>
        <w:t xml:space="preserve"> </w:t>
      </w:r>
      <w:r w:rsidRPr="00D114BE">
        <w:rPr>
          <w:rFonts w:ascii="Times New Roman" w:hAnsi="Times New Roman"/>
          <w:sz w:val="24"/>
          <w:szCs w:val="24"/>
        </w:rPr>
        <w:t>Also, Mr. C's adventures pa</w:t>
      </w:r>
      <w:r w:rsidRPr="00D114BE">
        <w:rPr>
          <w:rFonts w:ascii="Times New Roman" w:hAnsi="Times New Roman"/>
          <w:sz w:val="24"/>
          <w:szCs w:val="24"/>
        </w:rPr>
        <w:t>r</w:t>
      </w:r>
      <w:r w:rsidRPr="00D114BE">
        <w:rPr>
          <w:rFonts w:ascii="Times New Roman" w:hAnsi="Times New Roman"/>
          <w:sz w:val="24"/>
          <w:szCs w:val="24"/>
        </w:rPr>
        <w:t>allel those of Holden. Both characters leave an institution, wander around New York City for se</w:t>
      </w:r>
      <w:r w:rsidRPr="00D114BE">
        <w:rPr>
          <w:rFonts w:ascii="Times New Roman" w:hAnsi="Times New Roman"/>
          <w:sz w:val="24"/>
          <w:szCs w:val="24"/>
        </w:rPr>
        <w:t>v</w:t>
      </w:r>
      <w:r w:rsidRPr="00D114BE">
        <w:rPr>
          <w:rFonts w:ascii="Times New Roman" w:hAnsi="Times New Roman"/>
          <w:sz w:val="24"/>
          <w:szCs w:val="24"/>
        </w:rPr>
        <w:t xml:space="preserve">eral days, reconnect  [*8] with old friends, find happiness with Phoebe, and ultimately return to a different institution. Finally, within these broader structural similarities, the novels contain similar scenes, such as a climactic carousel scene. </w:t>
      </w:r>
    </w:p>
    <w:p w:rsidR="009026E7"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Salinger also cites Defendants' efforts to market </w:t>
      </w:r>
      <w:r w:rsidRPr="00D114BE">
        <w:rPr>
          <w:rFonts w:ascii="Times New Roman" w:hAnsi="Times New Roman"/>
          <w:i/>
          <w:iCs/>
          <w:sz w:val="24"/>
          <w:szCs w:val="24"/>
        </w:rPr>
        <w:t>60 Years Later</w:t>
      </w:r>
      <w:r w:rsidRPr="00D114BE">
        <w:rPr>
          <w:rFonts w:ascii="Times New Roman" w:hAnsi="Times New Roman"/>
          <w:sz w:val="24"/>
          <w:szCs w:val="24"/>
        </w:rPr>
        <w:t xml:space="preserve"> as a sequel to </w:t>
      </w:r>
      <w:r w:rsidRPr="00D114BE">
        <w:rPr>
          <w:rFonts w:ascii="Times New Roman" w:hAnsi="Times New Roman"/>
          <w:i/>
          <w:iCs/>
          <w:sz w:val="24"/>
          <w:szCs w:val="24"/>
        </w:rPr>
        <w:t>Catcher</w:t>
      </w:r>
      <w:r w:rsidRPr="00D114BE">
        <w:rPr>
          <w:rFonts w:ascii="Times New Roman" w:hAnsi="Times New Roman"/>
          <w:sz w:val="24"/>
          <w:szCs w:val="24"/>
        </w:rPr>
        <w:t xml:space="preserve">. The back cover of the United Kingdom edition describes the novel as "a marvelous sequel to one of our most beloved classics." In a 2009 interview in the </w:t>
      </w:r>
      <w:r w:rsidRPr="00D114BE">
        <w:rPr>
          <w:rFonts w:ascii="Times New Roman" w:hAnsi="Times New Roman"/>
          <w:i/>
          <w:iCs/>
          <w:sz w:val="24"/>
          <w:szCs w:val="24"/>
        </w:rPr>
        <w:t>Guardian</w:t>
      </w:r>
      <w:r w:rsidRPr="00D114BE">
        <w:rPr>
          <w:rFonts w:ascii="Times New Roman" w:hAnsi="Times New Roman"/>
          <w:sz w:val="24"/>
          <w:szCs w:val="24"/>
        </w:rPr>
        <w:t xml:space="preserve">,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describes </w:t>
      </w:r>
      <w:r w:rsidRPr="00D114BE">
        <w:rPr>
          <w:rFonts w:ascii="Times New Roman" w:hAnsi="Times New Roman"/>
          <w:i/>
          <w:iCs/>
          <w:sz w:val="24"/>
          <w:szCs w:val="24"/>
        </w:rPr>
        <w:t>60 Years Later</w:t>
      </w:r>
      <w:r w:rsidRPr="00D114BE">
        <w:rPr>
          <w:rFonts w:ascii="Times New Roman" w:hAnsi="Times New Roman"/>
          <w:sz w:val="24"/>
          <w:szCs w:val="24"/>
        </w:rPr>
        <w:t xml:space="preserve"> as "[</w:t>
      </w:r>
      <w:proofErr w:type="gramStart"/>
      <w:r w:rsidRPr="00D114BE">
        <w:rPr>
          <w:rFonts w:ascii="Times New Roman" w:hAnsi="Times New Roman"/>
          <w:sz w:val="24"/>
          <w:szCs w:val="24"/>
        </w:rPr>
        <w:t>j]</w:t>
      </w:r>
      <w:proofErr w:type="spellStart"/>
      <w:r w:rsidRPr="00D114BE">
        <w:rPr>
          <w:rFonts w:ascii="Times New Roman" w:hAnsi="Times New Roman"/>
          <w:sz w:val="24"/>
          <w:szCs w:val="24"/>
        </w:rPr>
        <w:t>ust</w:t>
      </w:r>
      <w:proofErr w:type="spellEnd"/>
      <w:proofErr w:type="gramEnd"/>
      <w:r w:rsidRPr="00D114BE">
        <w:rPr>
          <w:rFonts w:ascii="Times New Roman" w:hAnsi="Times New Roman"/>
          <w:sz w:val="24"/>
          <w:szCs w:val="24"/>
        </w:rPr>
        <w:t xml:space="preserve"> like the first novel . . . . He's still Holden Caulfield, and has a particular view on things." </w:t>
      </w:r>
    </w:p>
    <w:p w:rsidR="00E5396D" w:rsidRDefault="00A859E4" w:rsidP="00E5396D">
      <w:pPr>
        <w:widowControl/>
        <w:spacing w:before="120"/>
        <w:ind w:firstLine="360"/>
        <w:jc w:val="both"/>
        <w:rPr>
          <w:rFonts w:ascii="Times New Roman" w:hAnsi="Times New Roman"/>
          <w:sz w:val="24"/>
          <w:szCs w:val="24"/>
        </w:rPr>
      </w:pP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responds that </w:t>
      </w:r>
      <w:r w:rsidRPr="00D114BE">
        <w:rPr>
          <w:rFonts w:ascii="Times New Roman" w:hAnsi="Times New Roman"/>
          <w:i/>
          <w:iCs/>
          <w:sz w:val="24"/>
          <w:szCs w:val="24"/>
        </w:rPr>
        <w:t>60 Years Later</w:t>
      </w:r>
      <w:r w:rsidRPr="00D114BE">
        <w:rPr>
          <w:rFonts w:ascii="Times New Roman" w:hAnsi="Times New Roman"/>
          <w:sz w:val="24"/>
          <w:szCs w:val="24"/>
        </w:rPr>
        <w:t xml:space="preserve"> is not, and was never intended to be, a sequel to </w:t>
      </w:r>
      <w:r w:rsidRPr="00D114BE">
        <w:rPr>
          <w:rFonts w:ascii="Times New Roman" w:hAnsi="Times New Roman"/>
          <w:i/>
          <w:iCs/>
          <w:sz w:val="24"/>
          <w:szCs w:val="24"/>
        </w:rPr>
        <w:t>Catcher</w:t>
      </w:r>
      <w:r w:rsidRPr="00D114BE">
        <w:rPr>
          <w:rFonts w:ascii="Times New Roman" w:hAnsi="Times New Roman"/>
          <w:sz w:val="24"/>
          <w:szCs w:val="24"/>
        </w:rPr>
        <w:t xml:space="preserve">. Rather,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claims that it is a "critical examination of the character Holden and the way he is portrayed in [</w:t>
      </w:r>
      <w:r w:rsidRPr="00D114BE">
        <w:rPr>
          <w:rFonts w:ascii="Times New Roman" w:hAnsi="Times New Roman"/>
          <w:i/>
          <w:iCs/>
          <w:sz w:val="24"/>
          <w:szCs w:val="24"/>
        </w:rPr>
        <w:t>Catcher</w:t>
      </w:r>
      <w:r w:rsidRPr="00D114BE">
        <w:rPr>
          <w:rFonts w:ascii="Times New Roman" w:hAnsi="Times New Roman"/>
          <w:sz w:val="24"/>
          <w:szCs w:val="24"/>
        </w:rPr>
        <w:t xml:space="preserve">], the relationship between Salinger and his iconic creation, and the life of a particular author as he grows old but remains imprisoned by the literary character he created." </w:t>
      </w:r>
      <w:r w:rsidR="009026E7" w:rsidRPr="00D114BE">
        <w:rPr>
          <w:rFonts w:ascii="Times New Roman" w:hAnsi="Times New Roman"/>
          <w:sz w:val="24"/>
          <w:szCs w:val="24"/>
        </w:rPr>
        <w:t xml:space="preserve"> </w:t>
      </w:r>
      <w:r w:rsidRPr="00D114BE">
        <w:rPr>
          <w:rFonts w:ascii="Times New Roman" w:hAnsi="Times New Roman"/>
          <w:sz w:val="24"/>
          <w:szCs w:val="24"/>
        </w:rPr>
        <w:t>In support of this c</w:t>
      </w:r>
      <w:r w:rsidR="00E5396D">
        <w:rPr>
          <w:rFonts w:ascii="Times New Roman" w:hAnsi="Times New Roman"/>
          <w:sz w:val="24"/>
          <w:szCs w:val="24"/>
        </w:rPr>
        <w:t xml:space="preserve">laim, </w:t>
      </w:r>
      <w:proofErr w:type="spellStart"/>
      <w:r w:rsidR="00E5396D">
        <w:rPr>
          <w:rFonts w:ascii="Times New Roman" w:hAnsi="Times New Roman"/>
          <w:sz w:val="24"/>
          <w:szCs w:val="24"/>
        </w:rPr>
        <w:t>Colting</w:t>
      </w:r>
      <w:proofErr w:type="spellEnd"/>
      <w:r w:rsidR="00E5396D">
        <w:rPr>
          <w:rFonts w:ascii="Times New Roman" w:hAnsi="Times New Roman"/>
          <w:sz w:val="24"/>
          <w:szCs w:val="24"/>
        </w:rPr>
        <w:t xml:space="preserve"> first emphasizes </w:t>
      </w:r>
      <w:r w:rsidRPr="00D114BE">
        <w:rPr>
          <w:rFonts w:ascii="Times New Roman" w:hAnsi="Times New Roman"/>
          <w:sz w:val="24"/>
          <w:szCs w:val="24"/>
        </w:rPr>
        <w:t xml:space="preserve">[*9] that a main character in </w:t>
      </w:r>
      <w:r w:rsidRPr="00D114BE">
        <w:rPr>
          <w:rFonts w:ascii="Times New Roman" w:hAnsi="Times New Roman"/>
          <w:i/>
          <w:iCs/>
          <w:sz w:val="24"/>
          <w:szCs w:val="24"/>
        </w:rPr>
        <w:t>60 Years Later</w:t>
      </w:r>
      <w:r w:rsidRPr="00D114BE">
        <w:rPr>
          <w:rFonts w:ascii="Times New Roman" w:hAnsi="Times New Roman"/>
          <w:sz w:val="24"/>
          <w:szCs w:val="24"/>
        </w:rPr>
        <w:t xml:space="preserve">--Salinger himself, who narrates portions of the novel--does not appear in </w:t>
      </w:r>
      <w:r w:rsidRPr="00D114BE">
        <w:rPr>
          <w:rFonts w:ascii="Times New Roman" w:hAnsi="Times New Roman"/>
          <w:i/>
          <w:iCs/>
          <w:sz w:val="24"/>
          <w:szCs w:val="24"/>
        </w:rPr>
        <w:t>Catcher</w:t>
      </w:r>
      <w:r w:rsidRPr="00D114BE">
        <w:rPr>
          <w:rFonts w:ascii="Times New Roman" w:hAnsi="Times New Roman"/>
          <w:sz w:val="24"/>
          <w:szCs w:val="24"/>
        </w:rPr>
        <w:t xml:space="preserve">. Next, he explains how the Mr. C character evolves from a two-dimensional and absurd version of a sixteen-year-old Holden into a real person with a rich life completely apart from </w:t>
      </w:r>
      <w:r w:rsidRPr="00D114BE">
        <w:rPr>
          <w:rFonts w:ascii="Times New Roman" w:hAnsi="Times New Roman"/>
          <w:i/>
          <w:iCs/>
          <w:sz w:val="24"/>
          <w:szCs w:val="24"/>
        </w:rPr>
        <w:t>Catcher</w:t>
      </w:r>
      <w:r w:rsidRPr="00D114BE">
        <w:rPr>
          <w:rFonts w:ascii="Times New Roman" w:hAnsi="Times New Roman"/>
          <w:sz w:val="24"/>
          <w:szCs w:val="24"/>
        </w:rPr>
        <w:t xml:space="preserve">. Finally, he relies upon the declarations of two literary experts. Martha </w:t>
      </w:r>
      <w:proofErr w:type="spellStart"/>
      <w:r w:rsidRPr="00D114BE">
        <w:rPr>
          <w:rFonts w:ascii="Times New Roman" w:hAnsi="Times New Roman"/>
          <w:sz w:val="24"/>
          <w:szCs w:val="24"/>
        </w:rPr>
        <w:t>Woodmansee</w:t>
      </w:r>
      <w:proofErr w:type="spellEnd"/>
      <w:r w:rsidRPr="00D114BE">
        <w:rPr>
          <w:rFonts w:ascii="Times New Roman" w:hAnsi="Times New Roman"/>
          <w:sz w:val="24"/>
          <w:szCs w:val="24"/>
        </w:rPr>
        <w:t xml:space="preserve">, a professor of English and law at Case Western Reserve University, described </w:t>
      </w:r>
      <w:r w:rsidRPr="00D114BE">
        <w:rPr>
          <w:rFonts w:ascii="Times New Roman" w:hAnsi="Times New Roman"/>
          <w:i/>
          <w:iCs/>
          <w:sz w:val="24"/>
          <w:szCs w:val="24"/>
        </w:rPr>
        <w:t>60 Years Later</w:t>
      </w:r>
      <w:r w:rsidRPr="00D114BE">
        <w:rPr>
          <w:rFonts w:ascii="Times New Roman" w:hAnsi="Times New Roman"/>
          <w:sz w:val="24"/>
          <w:szCs w:val="24"/>
        </w:rPr>
        <w:t xml:space="preserve"> as a "work of meta-commentary" that "pu</w:t>
      </w:r>
      <w:r w:rsidRPr="00D114BE">
        <w:rPr>
          <w:rFonts w:ascii="Times New Roman" w:hAnsi="Times New Roman"/>
          <w:sz w:val="24"/>
          <w:szCs w:val="24"/>
        </w:rPr>
        <w:t>r</w:t>
      </w:r>
      <w:r w:rsidRPr="00D114BE">
        <w:rPr>
          <w:rFonts w:ascii="Times New Roman" w:hAnsi="Times New Roman"/>
          <w:sz w:val="24"/>
          <w:szCs w:val="24"/>
        </w:rPr>
        <w:t>sues critical reflection on J.D. Salinger and his masterpiece [</w:t>
      </w:r>
      <w:r w:rsidRPr="00D114BE">
        <w:rPr>
          <w:rFonts w:ascii="Times New Roman" w:hAnsi="Times New Roman"/>
          <w:i/>
          <w:iCs/>
          <w:sz w:val="24"/>
          <w:szCs w:val="24"/>
        </w:rPr>
        <w:t>Catcher</w:t>
      </w:r>
      <w:r w:rsidRPr="00D114BE">
        <w:rPr>
          <w:rFonts w:ascii="Times New Roman" w:hAnsi="Times New Roman"/>
          <w:sz w:val="24"/>
          <w:szCs w:val="24"/>
        </w:rPr>
        <w:t>] just as do the articles that li</w:t>
      </w:r>
      <w:r w:rsidRPr="00D114BE">
        <w:rPr>
          <w:rFonts w:ascii="Times New Roman" w:hAnsi="Times New Roman"/>
          <w:sz w:val="24"/>
          <w:szCs w:val="24"/>
        </w:rPr>
        <w:t>t</w:t>
      </w:r>
      <w:r w:rsidRPr="00D114BE">
        <w:rPr>
          <w:rFonts w:ascii="Times New Roman" w:hAnsi="Times New Roman"/>
          <w:sz w:val="24"/>
          <w:szCs w:val="24"/>
        </w:rPr>
        <w:t xml:space="preserve">erary scholars conventionally write and publish in scholarly journals, but it casts its commentary in an innovative 'post modern' form, Specifically, that of a novel." Robert </w:t>
      </w:r>
      <w:proofErr w:type="spellStart"/>
      <w:r w:rsidRPr="00D114BE">
        <w:rPr>
          <w:rFonts w:ascii="Times New Roman" w:hAnsi="Times New Roman"/>
          <w:sz w:val="24"/>
          <w:szCs w:val="24"/>
        </w:rPr>
        <w:t>Spoo</w:t>
      </w:r>
      <w:proofErr w:type="spellEnd"/>
      <w:r w:rsidRPr="00D114BE">
        <w:rPr>
          <w:rFonts w:ascii="Times New Roman" w:hAnsi="Times New Roman"/>
          <w:sz w:val="24"/>
          <w:szCs w:val="24"/>
        </w:rPr>
        <w:t xml:space="preserve">, a professor at the University of Tulsa College of Law, found </w:t>
      </w:r>
      <w:r w:rsidRPr="00D114BE">
        <w:rPr>
          <w:rFonts w:ascii="Times New Roman" w:hAnsi="Times New Roman"/>
          <w:i/>
          <w:iCs/>
          <w:sz w:val="24"/>
          <w:szCs w:val="24"/>
        </w:rPr>
        <w:t>60 Years Later</w:t>
      </w:r>
      <w:r w:rsidRPr="00D114BE">
        <w:rPr>
          <w:rFonts w:ascii="Times New Roman" w:hAnsi="Times New Roman"/>
          <w:sz w:val="24"/>
          <w:szCs w:val="24"/>
        </w:rPr>
        <w:t xml:space="preserve"> to be a "sustained commentary on and critique of </w:t>
      </w:r>
      <w:r w:rsidRPr="00D114BE">
        <w:rPr>
          <w:rFonts w:ascii="Times New Roman" w:hAnsi="Times New Roman"/>
          <w:i/>
          <w:iCs/>
          <w:sz w:val="24"/>
          <w:szCs w:val="24"/>
        </w:rPr>
        <w:t>Catcher</w:t>
      </w:r>
      <w:r w:rsidRPr="00D114BE">
        <w:rPr>
          <w:rFonts w:ascii="Times New Roman" w:hAnsi="Times New Roman"/>
          <w:sz w:val="24"/>
          <w:szCs w:val="24"/>
        </w:rPr>
        <w:t>, revisiting and analyzing the attitudes and assumptions of the teenaged Holden Caulfield. In this respect, [</w:t>
      </w:r>
      <w:r w:rsidRPr="00D114BE">
        <w:rPr>
          <w:rFonts w:ascii="Times New Roman" w:hAnsi="Times New Roman"/>
          <w:i/>
          <w:iCs/>
          <w:sz w:val="24"/>
          <w:szCs w:val="24"/>
        </w:rPr>
        <w:t>60 Years Later</w:t>
      </w:r>
      <w:r w:rsidRPr="00D114BE">
        <w:rPr>
          <w:rFonts w:ascii="Times New Roman" w:hAnsi="Times New Roman"/>
          <w:sz w:val="24"/>
          <w:szCs w:val="24"/>
        </w:rPr>
        <w:t xml:space="preserve">] is similar to a work of literary criticism." </w:t>
      </w:r>
    </w:p>
    <w:p w:rsidR="009D4400" w:rsidRPr="00D114BE" w:rsidRDefault="009D4400" w:rsidP="00E5396D">
      <w:pPr>
        <w:widowControl/>
        <w:spacing w:before="120"/>
        <w:ind w:firstLine="360"/>
        <w:jc w:val="both"/>
        <w:rPr>
          <w:rFonts w:ascii="Times New Roman" w:hAnsi="Times New Roman"/>
          <w:sz w:val="24"/>
          <w:szCs w:val="24"/>
        </w:rPr>
      </w:pPr>
    </w:p>
    <w:p w:rsidR="009D4400" w:rsidRPr="00D114BE" w:rsidRDefault="00A859E4" w:rsidP="00E5396D">
      <w:pPr>
        <w:widowControl/>
        <w:spacing w:before="120"/>
        <w:ind w:firstLine="360"/>
        <w:jc w:val="center"/>
        <w:rPr>
          <w:rFonts w:ascii="Times New Roman" w:hAnsi="Times New Roman"/>
          <w:sz w:val="24"/>
          <w:szCs w:val="24"/>
        </w:rPr>
      </w:pPr>
      <w:r w:rsidRPr="00D114BE">
        <w:rPr>
          <w:rFonts w:ascii="Times New Roman" w:hAnsi="Times New Roman"/>
          <w:b/>
          <w:bCs/>
          <w:sz w:val="24"/>
          <w:szCs w:val="24"/>
        </w:rPr>
        <w:t>III</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On July 1, 2009, the District Court granted  [*10] Salinger's motion for a preliminary injunction, barring Defendants from "manufacturing, publishing, distributing, shipping, advertising, promoting, selling, or otherwise disseminating any copy of [</w:t>
      </w:r>
      <w:r w:rsidRPr="00D114BE">
        <w:rPr>
          <w:rFonts w:ascii="Times New Roman" w:hAnsi="Times New Roman"/>
          <w:i/>
          <w:iCs/>
          <w:sz w:val="24"/>
          <w:szCs w:val="24"/>
        </w:rPr>
        <w:t>60 Years Later</w:t>
      </w:r>
      <w:r w:rsidRPr="00D114BE">
        <w:rPr>
          <w:rFonts w:ascii="Times New Roman" w:hAnsi="Times New Roman"/>
          <w:sz w:val="24"/>
          <w:szCs w:val="24"/>
        </w:rPr>
        <w:t xml:space="preserve">], or any portion thereof, in or to the United States." In doing so, it found that (1) Salinger has a valid copyright in </w:t>
      </w:r>
      <w:r w:rsidRPr="00D114BE">
        <w:rPr>
          <w:rFonts w:ascii="Times New Roman" w:hAnsi="Times New Roman"/>
          <w:i/>
          <w:iCs/>
          <w:sz w:val="24"/>
          <w:szCs w:val="24"/>
        </w:rPr>
        <w:t>Catcher</w:t>
      </w:r>
      <w:r w:rsidRPr="00D114BE">
        <w:rPr>
          <w:rFonts w:ascii="Times New Roman" w:hAnsi="Times New Roman"/>
          <w:sz w:val="24"/>
          <w:szCs w:val="24"/>
        </w:rPr>
        <w:t xml:space="preserve"> and the Holden Caulfield character, (2) absent a successful fair use defense, Defendants have infringed Salinger's copyright in both </w:t>
      </w:r>
      <w:r w:rsidRPr="00D114BE">
        <w:rPr>
          <w:rFonts w:ascii="Times New Roman" w:hAnsi="Times New Roman"/>
          <w:i/>
          <w:iCs/>
          <w:sz w:val="24"/>
          <w:szCs w:val="24"/>
        </w:rPr>
        <w:t>Catcher</w:t>
      </w:r>
      <w:r w:rsidRPr="00D114BE">
        <w:rPr>
          <w:rFonts w:ascii="Times New Roman" w:hAnsi="Times New Roman"/>
          <w:sz w:val="24"/>
          <w:szCs w:val="24"/>
        </w:rPr>
        <w:t xml:space="preserve"> and the Holden Caulfield character, (3) Defendants' fair use defense is likely to fail, and (4) a preliminary injunction should issue.</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District Court disposed of the first two issues in its decision's introduction. Defendants did not contest that Salinger has a valid copyright in </w:t>
      </w:r>
      <w:r w:rsidRPr="00D114BE">
        <w:rPr>
          <w:rFonts w:ascii="Times New Roman" w:hAnsi="Times New Roman"/>
          <w:i/>
          <w:iCs/>
          <w:sz w:val="24"/>
          <w:szCs w:val="24"/>
        </w:rPr>
        <w:t>Catcher</w:t>
      </w:r>
      <w:r w:rsidRPr="00D114BE">
        <w:rPr>
          <w:rFonts w:ascii="Times New Roman" w:hAnsi="Times New Roman"/>
          <w:sz w:val="24"/>
          <w:szCs w:val="24"/>
        </w:rPr>
        <w:t xml:space="preserve">. And regarding the Holden character, the Court stated that the character is "sufficiently delineated so that a claim for infringement will lie." The Court elaborated on this finding in a June 17, 2009 hearing: </w:t>
      </w:r>
    </w:p>
    <w:p w:rsidR="009D4400" w:rsidRPr="00D114BE" w:rsidRDefault="00A859E4" w:rsidP="00E5396D">
      <w:pPr>
        <w:widowControl/>
        <w:spacing w:before="120"/>
        <w:ind w:left="600" w:right="600"/>
        <w:jc w:val="both"/>
        <w:rPr>
          <w:rFonts w:ascii="Times New Roman" w:hAnsi="Times New Roman"/>
          <w:sz w:val="24"/>
          <w:szCs w:val="24"/>
        </w:rPr>
      </w:pPr>
      <w:r w:rsidRPr="00D114BE">
        <w:rPr>
          <w:rFonts w:ascii="Times New Roman" w:hAnsi="Times New Roman"/>
          <w:sz w:val="24"/>
          <w:szCs w:val="24"/>
        </w:rPr>
        <w:t xml:space="preserve">   Holden Caulfield is quite delineated by word. It is a portrait by words. It is something that is obviously seen to be of value since the effort  [*11] is made [by defendants] to recall everything that the character in the book </w:t>
      </w:r>
      <w:proofErr w:type="gramStart"/>
      <w:r w:rsidRPr="00D114BE">
        <w:rPr>
          <w:rFonts w:ascii="Times New Roman" w:hAnsi="Times New Roman"/>
          <w:sz w:val="24"/>
          <w:szCs w:val="24"/>
        </w:rPr>
        <w:t>does.</w:t>
      </w:r>
      <w:proofErr w:type="gramEnd"/>
      <w:r w:rsidRPr="00D114BE">
        <w:rPr>
          <w:rFonts w:ascii="Times New Roman" w:hAnsi="Times New Roman"/>
          <w:sz w:val="24"/>
          <w:szCs w:val="24"/>
        </w:rPr>
        <w:t xml:space="preserve"> . . . It is difficult, in fact, to sep</w:t>
      </w:r>
      <w:r w:rsidRPr="00D114BE">
        <w:rPr>
          <w:rFonts w:ascii="Times New Roman" w:hAnsi="Times New Roman"/>
          <w:sz w:val="24"/>
          <w:szCs w:val="24"/>
        </w:rPr>
        <w:t>a</w:t>
      </w:r>
      <w:r w:rsidRPr="00D114BE">
        <w:rPr>
          <w:rFonts w:ascii="Times New Roman" w:hAnsi="Times New Roman"/>
          <w:sz w:val="24"/>
          <w:szCs w:val="24"/>
        </w:rPr>
        <w:t>rate Holden Caulfield from the book.</w:t>
      </w:r>
    </w:p>
    <w:p w:rsidR="009D4400" w:rsidRPr="00D114BE" w:rsidRDefault="00A859E4" w:rsidP="00E5396D">
      <w:pPr>
        <w:widowControl/>
        <w:spacing w:before="120"/>
        <w:jc w:val="both"/>
        <w:rPr>
          <w:rFonts w:ascii="Times New Roman" w:hAnsi="Times New Roman"/>
          <w:sz w:val="24"/>
          <w:szCs w:val="24"/>
        </w:rPr>
      </w:pPr>
      <w:r w:rsidRPr="00D114BE">
        <w:rPr>
          <w:rFonts w:ascii="Times New Roman" w:hAnsi="Times New Roman"/>
          <w:sz w:val="24"/>
          <w:szCs w:val="24"/>
        </w:rPr>
        <w:t xml:space="preserve">Having found a valid copyright in both </w:t>
      </w:r>
      <w:r w:rsidRPr="00D114BE">
        <w:rPr>
          <w:rFonts w:ascii="Times New Roman" w:hAnsi="Times New Roman"/>
          <w:i/>
          <w:iCs/>
          <w:sz w:val="24"/>
          <w:szCs w:val="24"/>
        </w:rPr>
        <w:t>Catcher</w:t>
      </w:r>
      <w:r w:rsidRPr="00D114BE">
        <w:rPr>
          <w:rFonts w:ascii="Times New Roman" w:hAnsi="Times New Roman"/>
          <w:sz w:val="24"/>
          <w:szCs w:val="24"/>
        </w:rPr>
        <w:t xml:space="preserve"> and the Holden character, the Court </w:t>
      </w:r>
      <w:proofErr w:type="gramStart"/>
      <w:r w:rsidRPr="00D114BE">
        <w:rPr>
          <w:rFonts w:ascii="Times New Roman" w:hAnsi="Times New Roman"/>
          <w:sz w:val="24"/>
          <w:szCs w:val="24"/>
        </w:rPr>
        <w:t>concluded that</w:t>
      </w:r>
      <w:proofErr w:type="gramEnd"/>
      <w:r w:rsidRPr="00D114BE">
        <w:rPr>
          <w:rFonts w:ascii="Times New Roman" w:hAnsi="Times New Roman"/>
          <w:sz w:val="24"/>
          <w:szCs w:val="24"/>
        </w:rPr>
        <w:t xml:space="preserve"> "there is substantial similarity between </w:t>
      </w:r>
      <w:r w:rsidRPr="00D114BE">
        <w:rPr>
          <w:rFonts w:ascii="Times New Roman" w:hAnsi="Times New Roman"/>
          <w:i/>
          <w:iCs/>
          <w:sz w:val="24"/>
          <w:szCs w:val="24"/>
        </w:rPr>
        <w:t>Catcher</w:t>
      </w:r>
      <w:r w:rsidRPr="00D114BE">
        <w:rPr>
          <w:rFonts w:ascii="Times New Roman" w:hAnsi="Times New Roman"/>
          <w:sz w:val="24"/>
          <w:szCs w:val="24"/>
        </w:rPr>
        <w:t xml:space="preserve"> and [</w:t>
      </w:r>
      <w:r w:rsidRPr="00D114BE">
        <w:rPr>
          <w:rFonts w:ascii="Times New Roman" w:hAnsi="Times New Roman"/>
          <w:i/>
          <w:iCs/>
          <w:sz w:val="24"/>
          <w:szCs w:val="24"/>
        </w:rPr>
        <w:t>60 Years Later</w:t>
      </w:r>
      <w:r w:rsidRPr="00D114BE">
        <w:rPr>
          <w:rFonts w:ascii="Times New Roman" w:hAnsi="Times New Roman"/>
          <w:sz w:val="24"/>
          <w:szCs w:val="24"/>
        </w:rPr>
        <w:t>], as well as between the chara</w:t>
      </w:r>
      <w:r w:rsidRPr="00D114BE">
        <w:rPr>
          <w:rFonts w:ascii="Times New Roman" w:hAnsi="Times New Roman"/>
          <w:sz w:val="24"/>
          <w:szCs w:val="24"/>
        </w:rPr>
        <w:t>c</w:t>
      </w:r>
      <w:r w:rsidRPr="00D114BE">
        <w:rPr>
          <w:rFonts w:ascii="Times New Roman" w:hAnsi="Times New Roman"/>
          <w:sz w:val="24"/>
          <w:szCs w:val="24"/>
        </w:rPr>
        <w:t xml:space="preserve">ter Holden Caulfield from </w:t>
      </w:r>
      <w:r w:rsidRPr="00D114BE">
        <w:rPr>
          <w:rFonts w:ascii="Times New Roman" w:hAnsi="Times New Roman"/>
          <w:i/>
          <w:iCs/>
          <w:sz w:val="24"/>
          <w:szCs w:val="24"/>
        </w:rPr>
        <w:t>Catcher</w:t>
      </w:r>
      <w:r w:rsidRPr="00D114BE">
        <w:rPr>
          <w:rFonts w:ascii="Times New Roman" w:hAnsi="Times New Roman"/>
          <w:sz w:val="24"/>
          <w:szCs w:val="24"/>
        </w:rPr>
        <w:t>, and the character Mr. C from [</w:t>
      </w:r>
      <w:r w:rsidRPr="00D114BE">
        <w:rPr>
          <w:rFonts w:ascii="Times New Roman" w:hAnsi="Times New Roman"/>
          <w:i/>
          <w:iCs/>
          <w:sz w:val="24"/>
          <w:szCs w:val="24"/>
        </w:rPr>
        <w:t>60 Years Later</w:t>
      </w:r>
      <w:r w:rsidRPr="00D114BE">
        <w:rPr>
          <w:rFonts w:ascii="Times New Roman" w:hAnsi="Times New Roman"/>
          <w:sz w:val="24"/>
          <w:szCs w:val="24"/>
        </w:rPr>
        <w:t xml:space="preserve">], such that it was an unauthorized infringement of Plaintiff's copyright." </w:t>
      </w:r>
    </w:p>
    <w:p w:rsidR="009026E7"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District Court next concluded that Defendants' fair use defense is likely to fail and that therefore Salinger has established a </w:t>
      </w:r>
      <w:r w:rsidRPr="00D114BE">
        <w:rPr>
          <w:rFonts w:ascii="Times New Roman" w:hAnsi="Times New Roman"/>
          <w:i/>
          <w:iCs/>
          <w:sz w:val="24"/>
          <w:szCs w:val="24"/>
        </w:rPr>
        <w:t>prima facie</w:t>
      </w:r>
      <w:r w:rsidRPr="00D114BE">
        <w:rPr>
          <w:rFonts w:ascii="Times New Roman" w:hAnsi="Times New Roman"/>
          <w:sz w:val="24"/>
          <w:szCs w:val="24"/>
        </w:rPr>
        <w:t xml:space="preserve"> case of copyright infringement. In its consideration of the four statutory factors, the Court found that not one supports Defendants' claim of fair use. </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Regarding the first factor, the "purpose and character of the use," 17 U.S.C. </w:t>
      </w:r>
      <w:r w:rsidR="00D114BE">
        <w:rPr>
          <w:rFonts w:ascii="Times New Roman" w:hAnsi="Times New Roman"/>
          <w:sz w:val="24"/>
          <w:szCs w:val="24"/>
        </w:rPr>
        <w:t>§</w:t>
      </w:r>
      <w:r w:rsidRPr="00D114BE">
        <w:rPr>
          <w:rFonts w:ascii="Times New Roman" w:hAnsi="Times New Roman"/>
          <w:sz w:val="24"/>
          <w:szCs w:val="24"/>
        </w:rPr>
        <w:t xml:space="preserve">107(1), the Court held that </w:t>
      </w:r>
      <w:r w:rsidRPr="00D114BE">
        <w:rPr>
          <w:rFonts w:ascii="Times New Roman" w:hAnsi="Times New Roman"/>
          <w:i/>
          <w:iCs/>
          <w:sz w:val="24"/>
          <w:szCs w:val="24"/>
        </w:rPr>
        <w:t>60 Years Later</w:t>
      </w:r>
      <w:r w:rsidRPr="00D114BE">
        <w:rPr>
          <w:rFonts w:ascii="Times New Roman" w:hAnsi="Times New Roman"/>
          <w:sz w:val="24"/>
          <w:szCs w:val="24"/>
        </w:rPr>
        <w:t xml:space="preserve"> is not sufficiently "transformative" of </w:t>
      </w:r>
      <w:r w:rsidRPr="00D114BE">
        <w:rPr>
          <w:rFonts w:ascii="Times New Roman" w:hAnsi="Times New Roman"/>
          <w:i/>
          <w:iCs/>
          <w:sz w:val="24"/>
          <w:szCs w:val="24"/>
        </w:rPr>
        <w:t>Catcher</w:t>
      </w:r>
      <w:r w:rsidRPr="00D114BE">
        <w:rPr>
          <w:rFonts w:ascii="Times New Roman" w:hAnsi="Times New Roman"/>
          <w:sz w:val="24"/>
          <w:szCs w:val="24"/>
        </w:rPr>
        <w:t xml:space="preserve">, the Holden character, or Salinger, (quoting </w:t>
      </w:r>
      <w:r w:rsidRPr="00D114BE">
        <w:rPr>
          <w:rFonts w:ascii="Times New Roman" w:hAnsi="Times New Roman"/>
          <w:i/>
          <w:iCs/>
          <w:sz w:val="24"/>
          <w:szCs w:val="24"/>
        </w:rPr>
        <w:t xml:space="preserve">Campbell v. </w:t>
      </w:r>
      <w:proofErr w:type="spellStart"/>
      <w:r w:rsidRPr="00D114BE">
        <w:rPr>
          <w:rFonts w:ascii="Times New Roman" w:hAnsi="Times New Roman"/>
          <w:i/>
          <w:iCs/>
          <w:sz w:val="24"/>
          <w:szCs w:val="24"/>
        </w:rPr>
        <w:t>Acuff</w:t>
      </w:r>
      <w:proofErr w:type="spellEnd"/>
      <w:r w:rsidRPr="00D114BE">
        <w:rPr>
          <w:rFonts w:ascii="Times New Roman" w:hAnsi="Times New Roman"/>
          <w:i/>
          <w:iCs/>
          <w:sz w:val="24"/>
          <w:szCs w:val="24"/>
        </w:rPr>
        <w:t>-Rose Music, Inc</w:t>
      </w:r>
      <w:r w:rsidRPr="00D114BE">
        <w:rPr>
          <w:rFonts w:ascii="Times New Roman" w:hAnsi="Times New Roman"/>
          <w:sz w:val="24"/>
          <w:szCs w:val="24"/>
        </w:rPr>
        <w:t>., 510 U.S. 569, 579 (1994)). One reco</w:t>
      </w:r>
      <w:r w:rsidRPr="00D114BE">
        <w:rPr>
          <w:rFonts w:ascii="Times New Roman" w:hAnsi="Times New Roman"/>
          <w:sz w:val="24"/>
          <w:szCs w:val="24"/>
        </w:rPr>
        <w:t>g</w:t>
      </w:r>
      <w:r w:rsidRPr="00D114BE">
        <w:rPr>
          <w:rFonts w:ascii="Times New Roman" w:hAnsi="Times New Roman"/>
          <w:sz w:val="24"/>
          <w:szCs w:val="24"/>
        </w:rPr>
        <w:t>nized form of transformative  [*12] value, the Court noted, is parody, which requires a "reasonably di</w:t>
      </w:r>
      <w:r w:rsidRPr="00D114BE">
        <w:rPr>
          <w:rFonts w:ascii="Times New Roman" w:hAnsi="Times New Roman"/>
          <w:sz w:val="24"/>
          <w:szCs w:val="24"/>
        </w:rPr>
        <w:t>s</w:t>
      </w:r>
      <w:r w:rsidRPr="00D114BE">
        <w:rPr>
          <w:rFonts w:ascii="Times New Roman" w:hAnsi="Times New Roman"/>
          <w:sz w:val="24"/>
          <w:szCs w:val="24"/>
        </w:rPr>
        <w:t xml:space="preserve">cernable rejoinder or specific criticism of any character or theme." The Court found that </w:t>
      </w:r>
      <w:r w:rsidRPr="00D114BE">
        <w:rPr>
          <w:rFonts w:ascii="Times New Roman" w:hAnsi="Times New Roman"/>
          <w:i/>
          <w:iCs/>
          <w:sz w:val="24"/>
          <w:szCs w:val="24"/>
        </w:rPr>
        <w:t>60 Years Later</w:t>
      </w:r>
      <w:r w:rsidRPr="00D114BE">
        <w:rPr>
          <w:rFonts w:ascii="Times New Roman" w:hAnsi="Times New Roman"/>
          <w:sz w:val="24"/>
          <w:szCs w:val="24"/>
        </w:rPr>
        <w:t xml:space="preserve"> does not parody </w:t>
      </w:r>
      <w:r w:rsidRPr="00D114BE">
        <w:rPr>
          <w:rFonts w:ascii="Times New Roman" w:hAnsi="Times New Roman"/>
          <w:i/>
          <w:iCs/>
          <w:sz w:val="24"/>
          <w:szCs w:val="24"/>
        </w:rPr>
        <w:t>Catcher</w:t>
      </w:r>
      <w:r w:rsidRPr="00D114BE">
        <w:rPr>
          <w:rFonts w:ascii="Times New Roman" w:hAnsi="Times New Roman"/>
          <w:sz w:val="24"/>
          <w:szCs w:val="24"/>
        </w:rPr>
        <w:t xml:space="preserve"> or the Holden character, and although it might parody Salinger, that is insufficient because according to the Supreme Court's decision in </w:t>
      </w:r>
      <w:r w:rsidRPr="00D114BE">
        <w:rPr>
          <w:rFonts w:ascii="Times New Roman" w:hAnsi="Times New Roman"/>
          <w:i/>
          <w:iCs/>
          <w:sz w:val="24"/>
          <w:szCs w:val="24"/>
        </w:rPr>
        <w:t>Campbell</w:t>
      </w:r>
      <w:r w:rsidRPr="00D114BE">
        <w:rPr>
          <w:rFonts w:ascii="Times New Roman" w:hAnsi="Times New Roman"/>
          <w:sz w:val="24"/>
          <w:szCs w:val="24"/>
        </w:rPr>
        <w:t>, 510 U.S. at 580, parody must critique or comment on the work itself.</w:t>
      </w:r>
    </w:p>
    <w:p w:rsidR="009026E7"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District Court similarly concluded that </w:t>
      </w:r>
      <w:r w:rsidRPr="00D114BE">
        <w:rPr>
          <w:rFonts w:ascii="Times New Roman" w:hAnsi="Times New Roman"/>
          <w:i/>
          <w:iCs/>
          <w:sz w:val="24"/>
          <w:szCs w:val="24"/>
        </w:rPr>
        <w:t>60 Years Later</w:t>
      </w:r>
      <w:r w:rsidRPr="00D114BE">
        <w:rPr>
          <w:rFonts w:ascii="Times New Roman" w:hAnsi="Times New Roman"/>
          <w:sz w:val="24"/>
          <w:szCs w:val="24"/>
        </w:rPr>
        <w:t xml:space="preserve"> does not have sufficient non-</w:t>
      </w:r>
      <w:proofErr w:type="spellStart"/>
      <w:r w:rsidRPr="00D114BE">
        <w:rPr>
          <w:rFonts w:ascii="Times New Roman" w:hAnsi="Times New Roman"/>
          <w:sz w:val="24"/>
          <w:szCs w:val="24"/>
        </w:rPr>
        <w:t>parodic</w:t>
      </w:r>
      <w:proofErr w:type="spellEnd"/>
      <w:r w:rsidRPr="00D114BE">
        <w:rPr>
          <w:rFonts w:ascii="Times New Roman" w:hAnsi="Times New Roman"/>
          <w:sz w:val="24"/>
          <w:szCs w:val="24"/>
        </w:rPr>
        <w:t xml:space="preserve"> transformative value. Although </w:t>
      </w:r>
      <w:r w:rsidRPr="00D114BE">
        <w:rPr>
          <w:rFonts w:ascii="Times New Roman" w:hAnsi="Times New Roman"/>
          <w:i/>
          <w:iCs/>
          <w:sz w:val="24"/>
          <w:szCs w:val="24"/>
        </w:rPr>
        <w:t xml:space="preserve">60 Years </w:t>
      </w:r>
      <w:proofErr w:type="spellStart"/>
      <w:r w:rsidRPr="00D114BE">
        <w:rPr>
          <w:rFonts w:ascii="Times New Roman" w:hAnsi="Times New Roman"/>
          <w:i/>
          <w:iCs/>
          <w:sz w:val="24"/>
          <w:szCs w:val="24"/>
        </w:rPr>
        <w:t>Later's</w:t>
      </w:r>
      <w:proofErr w:type="spellEnd"/>
      <w:r w:rsidRPr="00D114BE">
        <w:rPr>
          <w:rFonts w:ascii="Times New Roman" w:hAnsi="Times New Roman"/>
          <w:sz w:val="24"/>
          <w:szCs w:val="24"/>
        </w:rPr>
        <w:t xml:space="preserve"> comment on Salinger himself "has some transfo</w:t>
      </w:r>
      <w:r w:rsidRPr="00D114BE">
        <w:rPr>
          <w:rFonts w:ascii="Times New Roman" w:hAnsi="Times New Roman"/>
          <w:sz w:val="24"/>
          <w:szCs w:val="24"/>
        </w:rPr>
        <w:t>r</w:t>
      </w:r>
      <w:r w:rsidRPr="00D114BE">
        <w:rPr>
          <w:rFonts w:ascii="Times New Roman" w:hAnsi="Times New Roman"/>
          <w:sz w:val="24"/>
          <w:szCs w:val="24"/>
        </w:rPr>
        <w:t xml:space="preserve">mative value," </w:t>
      </w:r>
      <w:r w:rsidR="00E5396D">
        <w:rPr>
          <w:rFonts w:ascii="Times New Roman" w:hAnsi="Times New Roman"/>
          <w:sz w:val="24"/>
          <w:szCs w:val="24"/>
        </w:rPr>
        <w:t>t</w:t>
      </w:r>
      <w:r w:rsidRPr="00D114BE">
        <w:rPr>
          <w:rFonts w:ascii="Times New Roman" w:hAnsi="Times New Roman"/>
          <w:sz w:val="24"/>
          <w:szCs w:val="24"/>
        </w:rPr>
        <w:t>he Court found that it is insufficient to render the work as a whole transform</w:t>
      </w:r>
      <w:r w:rsidRPr="00D114BE">
        <w:rPr>
          <w:rFonts w:ascii="Times New Roman" w:hAnsi="Times New Roman"/>
          <w:sz w:val="24"/>
          <w:szCs w:val="24"/>
        </w:rPr>
        <w:t>a</w:t>
      </w:r>
      <w:r w:rsidRPr="00D114BE">
        <w:rPr>
          <w:rFonts w:ascii="Times New Roman" w:hAnsi="Times New Roman"/>
          <w:sz w:val="24"/>
          <w:szCs w:val="24"/>
        </w:rPr>
        <w:t xml:space="preserve">tive for three reasons. First, according to </w:t>
      </w:r>
      <w:proofErr w:type="spellStart"/>
      <w:r w:rsidRPr="00D114BE">
        <w:rPr>
          <w:rFonts w:ascii="Times New Roman" w:hAnsi="Times New Roman"/>
          <w:sz w:val="24"/>
          <w:szCs w:val="24"/>
        </w:rPr>
        <w:t>Colting's</w:t>
      </w:r>
      <w:proofErr w:type="spellEnd"/>
      <w:r w:rsidRPr="00D114BE">
        <w:rPr>
          <w:rFonts w:ascii="Times New Roman" w:hAnsi="Times New Roman"/>
          <w:sz w:val="24"/>
          <w:szCs w:val="24"/>
        </w:rPr>
        <w:t xml:space="preserve"> public statements, his purpose for writing </w:t>
      </w:r>
      <w:r w:rsidRPr="00D114BE">
        <w:rPr>
          <w:rFonts w:ascii="Times New Roman" w:hAnsi="Times New Roman"/>
          <w:i/>
          <w:iCs/>
          <w:sz w:val="24"/>
          <w:szCs w:val="24"/>
        </w:rPr>
        <w:t xml:space="preserve">60 Years </w:t>
      </w:r>
      <w:proofErr w:type="gramStart"/>
      <w:r w:rsidRPr="00D114BE">
        <w:rPr>
          <w:rFonts w:ascii="Times New Roman" w:hAnsi="Times New Roman"/>
          <w:i/>
          <w:iCs/>
          <w:sz w:val="24"/>
          <w:szCs w:val="24"/>
        </w:rPr>
        <w:t>Later</w:t>
      </w:r>
      <w:proofErr w:type="gramEnd"/>
      <w:r w:rsidRPr="00D114BE">
        <w:rPr>
          <w:rFonts w:ascii="Times New Roman" w:hAnsi="Times New Roman"/>
          <w:sz w:val="24"/>
          <w:szCs w:val="24"/>
        </w:rPr>
        <w:t xml:space="preserve"> was not to comment on Salinger but to write a </w:t>
      </w:r>
      <w:r w:rsidRPr="00D114BE">
        <w:rPr>
          <w:rFonts w:ascii="Times New Roman" w:hAnsi="Times New Roman"/>
          <w:i/>
          <w:iCs/>
          <w:sz w:val="24"/>
          <w:szCs w:val="24"/>
        </w:rPr>
        <w:t>Catcher</w:t>
      </w:r>
      <w:r w:rsidRPr="00D114BE">
        <w:rPr>
          <w:rFonts w:ascii="Times New Roman" w:hAnsi="Times New Roman"/>
          <w:sz w:val="24"/>
          <w:szCs w:val="24"/>
        </w:rPr>
        <w:t xml:space="preserve"> sequel. Second, Salinger is a "minor or supporting character" in </w:t>
      </w:r>
      <w:r w:rsidRPr="00D114BE">
        <w:rPr>
          <w:rFonts w:ascii="Times New Roman" w:hAnsi="Times New Roman"/>
          <w:i/>
          <w:iCs/>
          <w:sz w:val="24"/>
          <w:szCs w:val="24"/>
        </w:rPr>
        <w:t>60 Years Later.</w:t>
      </w:r>
      <w:r w:rsidR="009026E7" w:rsidRPr="00D114BE">
        <w:rPr>
          <w:rFonts w:ascii="Times New Roman" w:hAnsi="Times New Roman"/>
          <w:i/>
          <w:iCs/>
          <w:sz w:val="24"/>
          <w:szCs w:val="24"/>
        </w:rPr>
        <w:t xml:space="preserve"> </w:t>
      </w:r>
      <w:r w:rsidRPr="00D114BE">
        <w:rPr>
          <w:rFonts w:ascii="Times New Roman" w:hAnsi="Times New Roman"/>
          <w:sz w:val="24"/>
          <w:szCs w:val="24"/>
        </w:rPr>
        <w:t xml:space="preserve"> And third, the ratio of borrowed to transformative el</w:t>
      </w:r>
      <w:r w:rsidRPr="00D114BE">
        <w:rPr>
          <w:rFonts w:ascii="Times New Roman" w:hAnsi="Times New Roman"/>
          <w:sz w:val="24"/>
          <w:szCs w:val="24"/>
        </w:rPr>
        <w:t>e</w:t>
      </w:r>
      <w:r w:rsidRPr="00D114BE">
        <w:rPr>
          <w:rFonts w:ascii="Times New Roman" w:hAnsi="Times New Roman"/>
          <w:sz w:val="24"/>
          <w:szCs w:val="24"/>
        </w:rPr>
        <w:t xml:space="preserve">ments in </w:t>
      </w:r>
      <w:r w:rsidRPr="00D114BE">
        <w:rPr>
          <w:rFonts w:ascii="Times New Roman" w:hAnsi="Times New Roman"/>
          <w:i/>
          <w:iCs/>
          <w:sz w:val="24"/>
          <w:szCs w:val="24"/>
        </w:rPr>
        <w:t>Catcher</w:t>
      </w:r>
      <w:r w:rsidRPr="00D114BE">
        <w:rPr>
          <w:rFonts w:ascii="Times New Roman" w:hAnsi="Times New Roman"/>
          <w:sz w:val="24"/>
          <w:szCs w:val="24"/>
        </w:rPr>
        <w:t xml:space="preserve"> is too high to render the entire work transformative.</w:t>
      </w:r>
      <w:r w:rsidR="009026E7" w:rsidRPr="00D114BE">
        <w:rPr>
          <w:rFonts w:ascii="Times New Roman" w:hAnsi="Times New Roman"/>
          <w:sz w:val="24"/>
          <w:szCs w:val="24"/>
        </w:rPr>
        <w:t xml:space="preserve"> </w:t>
      </w:r>
      <w:r w:rsidRPr="00D114BE">
        <w:rPr>
          <w:rFonts w:ascii="Times New Roman" w:hAnsi="Times New Roman"/>
          <w:sz w:val="24"/>
          <w:szCs w:val="24"/>
        </w:rPr>
        <w:t xml:space="preserve"> Finally, the Court o</w:t>
      </w:r>
      <w:r w:rsidRPr="00D114BE">
        <w:rPr>
          <w:rFonts w:ascii="Times New Roman" w:hAnsi="Times New Roman"/>
          <w:sz w:val="24"/>
          <w:szCs w:val="24"/>
        </w:rPr>
        <w:t>b</w:t>
      </w:r>
      <w:r w:rsidRPr="00D114BE">
        <w:rPr>
          <w:rFonts w:ascii="Times New Roman" w:hAnsi="Times New Roman"/>
          <w:sz w:val="24"/>
          <w:szCs w:val="24"/>
        </w:rPr>
        <w:t xml:space="preserve">served  [*13] that </w:t>
      </w:r>
      <w:r w:rsidRPr="00D114BE">
        <w:rPr>
          <w:rFonts w:ascii="Times New Roman" w:hAnsi="Times New Roman"/>
          <w:i/>
          <w:iCs/>
          <w:sz w:val="24"/>
          <w:szCs w:val="24"/>
        </w:rPr>
        <w:t xml:space="preserve">60 Years </w:t>
      </w:r>
      <w:proofErr w:type="spellStart"/>
      <w:r w:rsidRPr="00D114BE">
        <w:rPr>
          <w:rFonts w:ascii="Times New Roman" w:hAnsi="Times New Roman"/>
          <w:i/>
          <w:iCs/>
          <w:sz w:val="24"/>
          <w:szCs w:val="24"/>
        </w:rPr>
        <w:t>Later's</w:t>
      </w:r>
      <w:proofErr w:type="spellEnd"/>
      <w:r w:rsidRPr="00D114BE">
        <w:rPr>
          <w:rFonts w:ascii="Times New Roman" w:hAnsi="Times New Roman"/>
          <w:sz w:val="24"/>
          <w:szCs w:val="24"/>
        </w:rPr>
        <w:t xml:space="preserve"> commercial nature further cuts against Defendants on the "pu</w:t>
      </w:r>
      <w:r w:rsidRPr="00D114BE">
        <w:rPr>
          <w:rFonts w:ascii="Times New Roman" w:hAnsi="Times New Roman"/>
          <w:sz w:val="24"/>
          <w:szCs w:val="24"/>
        </w:rPr>
        <w:t>r</w:t>
      </w:r>
      <w:r w:rsidRPr="00D114BE">
        <w:rPr>
          <w:rFonts w:ascii="Times New Roman" w:hAnsi="Times New Roman"/>
          <w:sz w:val="24"/>
          <w:szCs w:val="24"/>
        </w:rPr>
        <w:t>pose and character of the use" factor.</w:t>
      </w:r>
    </w:p>
    <w:p w:rsidR="009D4400" w:rsidRPr="00D114BE" w:rsidRDefault="009026E7"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 </w:t>
      </w:r>
      <w:r w:rsidR="00A859E4" w:rsidRPr="00D114BE">
        <w:rPr>
          <w:rFonts w:ascii="Times New Roman" w:hAnsi="Times New Roman"/>
          <w:sz w:val="24"/>
          <w:szCs w:val="24"/>
        </w:rPr>
        <w:t xml:space="preserve">Addressing the second and third factors, </w:t>
      </w:r>
      <w:r w:rsidR="00A859E4" w:rsidRPr="00D114BE">
        <w:rPr>
          <w:rFonts w:ascii="Times New Roman" w:hAnsi="Times New Roman"/>
          <w:i/>
          <w:iCs/>
          <w:sz w:val="24"/>
          <w:szCs w:val="24"/>
        </w:rPr>
        <w:t>see</w:t>
      </w:r>
      <w:r w:rsidR="00A859E4" w:rsidRPr="00D114BE">
        <w:rPr>
          <w:rFonts w:ascii="Times New Roman" w:hAnsi="Times New Roman"/>
          <w:sz w:val="24"/>
          <w:szCs w:val="24"/>
        </w:rPr>
        <w:t xml:space="preserve"> 17 U.S.C. </w:t>
      </w:r>
      <w:r w:rsidR="00E5396D">
        <w:rPr>
          <w:rFonts w:ascii="Times New Roman" w:hAnsi="Times New Roman"/>
          <w:sz w:val="24"/>
          <w:szCs w:val="24"/>
        </w:rPr>
        <w:t>§</w:t>
      </w:r>
      <w:r w:rsidR="00A859E4" w:rsidRPr="00D114BE">
        <w:rPr>
          <w:rFonts w:ascii="Times New Roman" w:hAnsi="Times New Roman"/>
          <w:sz w:val="24"/>
          <w:szCs w:val="24"/>
        </w:rPr>
        <w:t xml:space="preserve">107(2)-(3), the District Court held with respect to the "nature of the copyrighted work" that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is a "'creative expression for public di</w:t>
      </w:r>
      <w:r w:rsidR="00A859E4" w:rsidRPr="00D114BE">
        <w:rPr>
          <w:rFonts w:ascii="Times New Roman" w:hAnsi="Times New Roman"/>
          <w:sz w:val="24"/>
          <w:szCs w:val="24"/>
        </w:rPr>
        <w:t>s</w:t>
      </w:r>
      <w:r w:rsidR="00A859E4" w:rsidRPr="00D114BE">
        <w:rPr>
          <w:rFonts w:ascii="Times New Roman" w:hAnsi="Times New Roman"/>
          <w:sz w:val="24"/>
          <w:szCs w:val="24"/>
        </w:rPr>
        <w:t xml:space="preserve">semination [that] falls within the core of the copyright's protective purposes.'" </w:t>
      </w:r>
      <w:r w:rsidRPr="00D114BE">
        <w:rPr>
          <w:rFonts w:ascii="Times New Roman" w:hAnsi="Times New Roman"/>
          <w:sz w:val="24"/>
          <w:szCs w:val="24"/>
        </w:rPr>
        <w:t xml:space="preserve"> </w:t>
      </w:r>
      <w:r w:rsidR="00A859E4" w:rsidRPr="00D114BE">
        <w:rPr>
          <w:rFonts w:ascii="Times New Roman" w:hAnsi="Times New Roman"/>
          <w:sz w:val="24"/>
          <w:szCs w:val="24"/>
        </w:rPr>
        <w:t xml:space="preserve">It then found as to "the amount and substantiality of the portion used in relation to the copyrighted work as a whole" that </w:t>
      </w:r>
      <w:proofErr w:type="spellStart"/>
      <w:r w:rsidR="00A859E4" w:rsidRPr="00D114BE">
        <w:rPr>
          <w:rFonts w:ascii="Times New Roman" w:hAnsi="Times New Roman"/>
          <w:sz w:val="24"/>
          <w:szCs w:val="24"/>
        </w:rPr>
        <w:t>Colting</w:t>
      </w:r>
      <w:proofErr w:type="spellEnd"/>
      <w:r w:rsidR="00A859E4" w:rsidRPr="00D114BE">
        <w:rPr>
          <w:rFonts w:ascii="Times New Roman" w:hAnsi="Times New Roman"/>
          <w:sz w:val="24"/>
          <w:szCs w:val="24"/>
        </w:rPr>
        <w:t xml:space="preserve"> took "well more from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in both substance and style, than is necessary for the alleged transformative purpose of criticizing Salinger and his attitudes and behavior." </w:t>
      </w:r>
    </w:p>
    <w:p w:rsidR="009026E7"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The District Court went on to conclude that the fourth factor, "the effect of the use upon the p</w:t>
      </w:r>
      <w:r w:rsidRPr="00D114BE">
        <w:rPr>
          <w:rFonts w:ascii="Times New Roman" w:hAnsi="Times New Roman"/>
          <w:sz w:val="24"/>
          <w:szCs w:val="24"/>
        </w:rPr>
        <w:t>o</w:t>
      </w:r>
      <w:r w:rsidRPr="00D114BE">
        <w:rPr>
          <w:rFonts w:ascii="Times New Roman" w:hAnsi="Times New Roman"/>
          <w:sz w:val="24"/>
          <w:szCs w:val="24"/>
        </w:rPr>
        <w:t xml:space="preserve">tential market for or value of the copyrighted work," 17 U.S.C. </w:t>
      </w:r>
      <w:r w:rsidR="00E5396D">
        <w:rPr>
          <w:rFonts w:ascii="Times New Roman" w:hAnsi="Times New Roman"/>
          <w:sz w:val="24"/>
          <w:szCs w:val="24"/>
        </w:rPr>
        <w:t>§</w:t>
      </w:r>
      <w:r w:rsidRPr="00D114BE">
        <w:rPr>
          <w:rFonts w:ascii="Times New Roman" w:hAnsi="Times New Roman"/>
          <w:sz w:val="24"/>
          <w:szCs w:val="24"/>
        </w:rPr>
        <w:t>107(4), weighs "slightly" in Sali</w:t>
      </w:r>
      <w:r w:rsidRPr="00D114BE">
        <w:rPr>
          <w:rFonts w:ascii="Times New Roman" w:hAnsi="Times New Roman"/>
          <w:sz w:val="24"/>
          <w:szCs w:val="24"/>
        </w:rPr>
        <w:t>n</w:t>
      </w:r>
      <w:r w:rsidRPr="00D114BE">
        <w:rPr>
          <w:rFonts w:ascii="Times New Roman" w:hAnsi="Times New Roman"/>
          <w:sz w:val="24"/>
          <w:szCs w:val="24"/>
        </w:rPr>
        <w:t xml:space="preserve">ger's favor. The Court acknowledged that </w:t>
      </w:r>
      <w:r w:rsidRPr="00D114BE">
        <w:rPr>
          <w:rFonts w:ascii="Times New Roman" w:hAnsi="Times New Roman"/>
          <w:i/>
          <w:iCs/>
          <w:sz w:val="24"/>
          <w:szCs w:val="24"/>
        </w:rPr>
        <w:t>60 Years Later</w:t>
      </w:r>
      <w:r w:rsidRPr="00D114BE">
        <w:rPr>
          <w:rFonts w:ascii="Times New Roman" w:hAnsi="Times New Roman"/>
          <w:sz w:val="24"/>
          <w:szCs w:val="24"/>
        </w:rPr>
        <w:t xml:space="preserve"> is unlikely to impact the sales of </w:t>
      </w:r>
      <w:r w:rsidRPr="00D114BE">
        <w:rPr>
          <w:rFonts w:ascii="Times New Roman" w:hAnsi="Times New Roman"/>
          <w:i/>
          <w:iCs/>
          <w:sz w:val="24"/>
          <w:szCs w:val="24"/>
        </w:rPr>
        <w:t>Catcher</w:t>
      </w:r>
      <w:r w:rsidRPr="00D114BE">
        <w:rPr>
          <w:rFonts w:ascii="Times New Roman" w:hAnsi="Times New Roman"/>
          <w:sz w:val="24"/>
          <w:szCs w:val="24"/>
        </w:rPr>
        <w:t xml:space="preserve"> itself, but it found that an unauthorized sequel might undermine the potential market for an autho</w:t>
      </w:r>
      <w:r w:rsidRPr="00D114BE">
        <w:rPr>
          <w:rFonts w:ascii="Times New Roman" w:hAnsi="Times New Roman"/>
          <w:sz w:val="24"/>
          <w:szCs w:val="24"/>
        </w:rPr>
        <w:t>r</w:t>
      </w:r>
      <w:r w:rsidRPr="00D114BE">
        <w:rPr>
          <w:rFonts w:ascii="Times New Roman" w:hAnsi="Times New Roman"/>
          <w:sz w:val="24"/>
          <w:szCs w:val="24"/>
        </w:rPr>
        <w:t xml:space="preserve">ized  [*14] </w:t>
      </w:r>
      <w:r w:rsidRPr="00D114BE">
        <w:rPr>
          <w:rFonts w:ascii="Times New Roman" w:hAnsi="Times New Roman"/>
          <w:i/>
          <w:iCs/>
          <w:sz w:val="24"/>
          <w:szCs w:val="24"/>
        </w:rPr>
        <w:t>Catcher</w:t>
      </w:r>
      <w:r w:rsidRPr="00D114BE">
        <w:rPr>
          <w:rFonts w:ascii="Times New Roman" w:hAnsi="Times New Roman"/>
          <w:sz w:val="24"/>
          <w:szCs w:val="24"/>
        </w:rPr>
        <w:t xml:space="preserve"> sequel, whether through loss of the novelty of a sequel or through conf</w:t>
      </w:r>
      <w:r w:rsidRPr="00D114BE">
        <w:rPr>
          <w:rFonts w:ascii="Times New Roman" w:hAnsi="Times New Roman"/>
          <w:sz w:val="24"/>
          <w:szCs w:val="24"/>
        </w:rPr>
        <w:t>u</w:t>
      </w:r>
      <w:r w:rsidRPr="00D114BE">
        <w:rPr>
          <w:rFonts w:ascii="Times New Roman" w:hAnsi="Times New Roman"/>
          <w:sz w:val="24"/>
          <w:szCs w:val="24"/>
        </w:rPr>
        <w:t>sion as to which of the sequels is the authorized one. Although the Court recognized that Salinger has pu</w:t>
      </w:r>
      <w:r w:rsidRPr="00D114BE">
        <w:rPr>
          <w:rFonts w:ascii="Times New Roman" w:hAnsi="Times New Roman"/>
          <w:sz w:val="24"/>
          <w:szCs w:val="24"/>
        </w:rPr>
        <w:t>b</w:t>
      </w:r>
      <w:r w:rsidRPr="00D114BE">
        <w:rPr>
          <w:rFonts w:ascii="Times New Roman" w:hAnsi="Times New Roman"/>
          <w:sz w:val="24"/>
          <w:szCs w:val="24"/>
        </w:rPr>
        <w:t xml:space="preserve">licly disclaimed any intention of authorizing a sequel, the Court noted that Salinger has the right to change his mind and, even if he has no intention of changing his mind, there is value in the right </w:t>
      </w:r>
      <w:r w:rsidRPr="00D114BE">
        <w:rPr>
          <w:rFonts w:ascii="Times New Roman" w:hAnsi="Times New Roman"/>
          <w:i/>
          <w:iCs/>
          <w:sz w:val="24"/>
          <w:szCs w:val="24"/>
        </w:rPr>
        <w:t>not</w:t>
      </w:r>
      <w:r w:rsidRPr="00D114BE">
        <w:rPr>
          <w:rFonts w:ascii="Times New Roman" w:hAnsi="Times New Roman"/>
          <w:sz w:val="24"/>
          <w:szCs w:val="24"/>
        </w:rPr>
        <w:t xml:space="preserve"> to authorize derivative works. </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Having made this determination, the District Court turned to whether a preliminary injunction should issue. According to the Court: </w:t>
      </w:r>
    </w:p>
    <w:p w:rsidR="009D4400" w:rsidRPr="00D114BE" w:rsidRDefault="00A859E4" w:rsidP="00E5396D">
      <w:pPr>
        <w:widowControl/>
        <w:spacing w:before="120"/>
        <w:ind w:left="600" w:right="600"/>
        <w:jc w:val="both"/>
        <w:rPr>
          <w:rFonts w:ascii="Times New Roman" w:hAnsi="Times New Roman"/>
          <w:sz w:val="24"/>
          <w:szCs w:val="24"/>
        </w:rPr>
      </w:pPr>
      <w:r w:rsidRPr="00D114BE">
        <w:rPr>
          <w:rFonts w:ascii="Times New Roman" w:hAnsi="Times New Roman"/>
          <w:sz w:val="24"/>
          <w:szCs w:val="24"/>
        </w:rPr>
        <w:t xml:space="preserve">   Under Rule 65, to obtain a preliminary injunction a party must demonstrate: (1) that it will be irreparably harmed if an injunction is not granted, and (2) either (a) a likelihood of success on the merits or (b) sufficiently serious questions going to the merits to make them a fair ground for litigation, and a balance of hardships tipping decidedly in its f</w:t>
      </w:r>
      <w:r w:rsidRPr="00D114BE">
        <w:rPr>
          <w:rFonts w:ascii="Times New Roman" w:hAnsi="Times New Roman"/>
          <w:sz w:val="24"/>
          <w:szCs w:val="24"/>
        </w:rPr>
        <w:t>a</w:t>
      </w:r>
      <w:r w:rsidRPr="00D114BE">
        <w:rPr>
          <w:rFonts w:ascii="Times New Roman" w:hAnsi="Times New Roman"/>
          <w:sz w:val="24"/>
          <w:szCs w:val="24"/>
        </w:rPr>
        <w:t xml:space="preserve">vor. </w:t>
      </w:r>
    </w:p>
    <w:p w:rsidR="009D4400" w:rsidRPr="00D114BE" w:rsidRDefault="00A859E4" w:rsidP="00E5396D">
      <w:pPr>
        <w:widowControl/>
        <w:spacing w:before="120"/>
        <w:jc w:val="both"/>
        <w:rPr>
          <w:rFonts w:ascii="Times New Roman" w:hAnsi="Times New Roman"/>
          <w:sz w:val="24"/>
          <w:szCs w:val="24"/>
        </w:rPr>
      </w:pPr>
      <w:r w:rsidRPr="00D114BE">
        <w:rPr>
          <w:rFonts w:ascii="Times New Roman" w:hAnsi="Times New Roman"/>
          <w:sz w:val="24"/>
          <w:szCs w:val="24"/>
        </w:rPr>
        <w:t xml:space="preserve">Given its findings, the Court deemed the only remaining question to be whether Salinger had shown that he would be irreparably harmed if an injunction </w:t>
      </w:r>
      <w:proofErr w:type="gramStart"/>
      <w:r w:rsidRPr="00D114BE">
        <w:rPr>
          <w:rFonts w:ascii="Times New Roman" w:hAnsi="Times New Roman"/>
          <w:sz w:val="24"/>
          <w:szCs w:val="24"/>
        </w:rPr>
        <w:t>was</w:t>
      </w:r>
      <w:proofErr w:type="gramEnd"/>
      <w:r w:rsidRPr="00D114BE">
        <w:rPr>
          <w:rFonts w:ascii="Times New Roman" w:hAnsi="Times New Roman"/>
          <w:sz w:val="24"/>
          <w:szCs w:val="24"/>
        </w:rPr>
        <w:t xml:space="preserve"> not granted. Because Salinger had esta</w:t>
      </w:r>
      <w:r w:rsidRPr="00D114BE">
        <w:rPr>
          <w:rFonts w:ascii="Times New Roman" w:hAnsi="Times New Roman"/>
          <w:sz w:val="24"/>
          <w:szCs w:val="24"/>
        </w:rPr>
        <w:t>b</w:t>
      </w:r>
      <w:r w:rsidRPr="00D114BE">
        <w:rPr>
          <w:rFonts w:ascii="Times New Roman" w:hAnsi="Times New Roman"/>
          <w:sz w:val="24"/>
          <w:szCs w:val="24"/>
        </w:rPr>
        <w:t xml:space="preserve">lished a </w:t>
      </w:r>
      <w:r w:rsidRPr="00D114BE">
        <w:rPr>
          <w:rFonts w:ascii="Times New Roman" w:hAnsi="Times New Roman"/>
          <w:i/>
          <w:iCs/>
          <w:sz w:val="24"/>
          <w:szCs w:val="24"/>
        </w:rPr>
        <w:t>prima facie</w:t>
      </w:r>
      <w:r w:rsidRPr="00D114BE">
        <w:rPr>
          <w:rFonts w:ascii="Times New Roman" w:hAnsi="Times New Roman"/>
          <w:sz w:val="24"/>
          <w:szCs w:val="24"/>
        </w:rPr>
        <w:t xml:space="preserve"> case of copyright  [*15] infringement, and in light of how the District Court, understandably, viewed this Court's precedents, the District Court presumed irreparable harm wit</w:t>
      </w:r>
      <w:r w:rsidRPr="00D114BE">
        <w:rPr>
          <w:rFonts w:ascii="Times New Roman" w:hAnsi="Times New Roman"/>
          <w:sz w:val="24"/>
          <w:szCs w:val="24"/>
        </w:rPr>
        <w:t>h</w:t>
      </w:r>
      <w:r w:rsidRPr="00D114BE">
        <w:rPr>
          <w:rFonts w:ascii="Times New Roman" w:hAnsi="Times New Roman"/>
          <w:sz w:val="24"/>
          <w:szCs w:val="24"/>
        </w:rPr>
        <w:t xml:space="preserve">out discussion. </w:t>
      </w:r>
      <w:r w:rsidR="009026E7" w:rsidRPr="00D114BE">
        <w:rPr>
          <w:rFonts w:ascii="Times New Roman" w:hAnsi="Times New Roman"/>
          <w:sz w:val="24"/>
          <w:szCs w:val="24"/>
        </w:rPr>
        <w:t xml:space="preserve"> </w:t>
      </w:r>
      <w:r w:rsidRPr="00D114BE">
        <w:rPr>
          <w:rFonts w:ascii="Times New Roman" w:hAnsi="Times New Roman"/>
          <w:sz w:val="24"/>
          <w:szCs w:val="24"/>
        </w:rPr>
        <w:t>In a footnote, the Court stated:</w:t>
      </w:r>
    </w:p>
    <w:p w:rsidR="009D4400" w:rsidRPr="00D114BE" w:rsidRDefault="00A859E4" w:rsidP="00E5396D">
      <w:pPr>
        <w:widowControl/>
        <w:spacing w:before="120"/>
        <w:ind w:left="600" w:right="600"/>
        <w:jc w:val="both"/>
        <w:rPr>
          <w:rFonts w:ascii="Times New Roman" w:hAnsi="Times New Roman"/>
          <w:sz w:val="24"/>
          <w:szCs w:val="24"/>
        </w:rPr>
      </w:pPr>
      <w:r w:rsidRPr="00D114BE">
        <w:rPr>
          <w:rFonts w:ascii="Times New Roman" w:hAnsi="Times New Roman"/>
          <w:sz w:val="24"/>
          <w:szCs w:val="24"/>
        </w:rPr>
        <w:t xml:space="preserve">   Although Defendants contend that </w:t>
      </w:r>
      <w:r w:rsidRPr="00D114BE">
        <w:rPr>
          <w:rFonts w:ascii="Times New Roman" w:hAnsi="Times New Roman"/>
          <w:i/>
          <w:iCs/>
          <w:sz w:val="24"/>
          <w:szCs w:val="24"/>
        </w:rPr>
        <w:t xml:space="preserve">eBay, Inc. v. </w:t>
      </w:r>
      <w:proofErr w:type="spellStart"/>
      <w:r w:rsidRPr="00D114BE">
        <w:rPr>
          <w:rFonts w:ascii="Times New Roman" w:hAnsi="Times New Roman"/>
          <w:i/>
          <w:iCs/>
          <w:sz w:val="24"/>
          <w:szCs w:val="24"/>
        </w:rPr>
        <w:t>MercExchange</w:t>
      </w:r>
      <w:proofErr w:type="spellEnd"/>
      <w:r w:rsidRPr="00D114BE">
        <w:rPr>
          <w:rFonts w:ascii="Times New Roman" w:hAnsi="Times New Roman"/>
          <w:sz w:val="24"/>
          <w:szCs w:val="24"/>
        </w:rPr>
        <w:t>, 547 U.S. 388 (2006), undermines the validity of this presumption, that case dealt only with the presumption of irreparable harm in the patent law context, and thus is not controlling in the absence of Second Circuit precedent applying it in the copyright context.</w:t>
      </w:r>
    </w:p>
    <w:p w:rsidR="009D4400" w:rsidRPr="00D114BE" w:rsidRDefault="009D4400" w:rsidP="00E5396D">
      <w:pPr>
        <w:widowControl/>
        <w:jc w:val="both"/>
        <w:rPr>
          <w:rFonts w:ascii="Times New Roman" w:hAnsi="Times New Roman"/>
          <w:sz w:val="24"/>
          <w:szCs w:val="24"/>
        </w:rPr>
      </w:pPr>
    </w:p>
    <w:p w:rsidR="009D4400" w:rsidRPr="00D114BE" w:rsidRDefault="00A859E4" w:rsidP="00E5396D">
      <w:pPr>
        <w:widowControl/>
        <w:jc w:val="both"/>
        <w:rPr>
          <w:rFonts w:ascii="Times New Roman" w:hAnsi="Times New Roman"/>
          <w:sz w:val="24"/>
          <w:szCs w:val="24"/>
        </w:rPr>
      </w:pPr>
      <w:r w:rsidRPr="00D114BE">
        <w:rPr>
          <w:rFonts w:ascii="Times New Roman" w:hAnsi="Times New Roman"/>
          <w:sz w:val="24"/>
          <w:szCs w:val="24"/>
        </w:rPr>
        <w:t xml:space="preserve"> </w:t>
      </w:r>
    </w:p>
    <w:p w:rsidR="009D4400" w:rsidRPr="00D114BE" w:rsidRDefault="00A859E4" w:rsidP="00E5396D">
      <w:pPr>
        <w:widowControl/>
        <w:jc w:val="center"/>
        <w:rPr>
          <w:rFonts w:ascii="Times New Roman" w:hAnsi="Times New Roman"/>
          <w:sz w:val="24"/>
          <w:szCs w:val="24"/>
        </w:rPr>
      </w:pPr>
      <w:r w:rsidRPr="00D114BE">
        <w:rPr>
          <w:rFonts w:ascii="Times New Roman" w:hAnsi="Times New Roman"/>
          <w:b/>
          <w:bCs/>
          <w:sz w:val="24"/>
          <w:szCs w:val="24"/>
        </w:rPr>
        <w:t>DISCUSSION</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We hold that, although the District Court applied our Circuit's longstanding standard for pr</w:t>
      </w:r>
      <w:r w:rsidRPr="00D114BE">
        <w:rPr>
          <w:rFonts w:ascii="Times New Roman" w:hAnsi="Times New Roman"/>
          <w:sz w:val="24"/>
          <w:szCs w:val="24"/>
        </w:rPr>
        <w:t>e</w:t>
      </w:r>
      <w:r w:rsidRPr="00D114BE">
        <w:rPr>
          <w:rFonts w:ascii="Times New Roman" w:hAnsi="Times New Roman"/>
          <w:sz w:val="24"/>
          <w:szCs w:val="24"/>
        </w:rPr>
        <w:t>liminary injunctions in copyright cases, our Circuit's standard is inconsistent with the "test histor</w:t>
      </w:r>
      <w:r w:rsidRPr="00D114BE">
        <w:rPr>
          <w:rFonts w:ascii="Times New Roman" w:hAnsi="Times New Roman"/>
          <w:sz w:val="24"/>
          <w:szCs w:val="24"/>
        </w:rPr>
        <w:t>i</w:t>
      </w:r>
      <w:r w:rsidRPr="00D114BE">
        <w:rPr>
          <w:rFonts w:ascii="Times New Roman" w:hAnsi="Times New Roman"/>
          <w:sz w:val="24"/>
          <w:szCs w:val="24"/>
        </w:rPr>
        <w:t xml:space="preserve">cally employed by courts of equity" and has, therefore, been abrogated by </w:t>
      </w:r>
      <w:r w:rsidRPr="00D114BE">
        <w:rPr>
          <w:rFonts w:ascii="Times New Roman" w:hAnsi="Times New Roman"/>
          <w:i/>
          <w:iCs/>
          <w:sz w:val="24"/>
          <w:szCs w:val="24"/>
        </w:rPr>
        <w:t xml:space="preserve">eBay, Inc. v. </w:t>
      </w:r>
      <w:proofErr w:type="spellStart"/>
      <w:r w:rsidRPr="00D114BE">
        <w:rPr>
          <w:rFonts w:ascii="Times New Roman" w:hAnsi="Times New Roman"/>
          <w:i/>
          <w:iCs/>
          <w:sz w:val="24"/>
          <w:szCs w:val="24"/>
        </w:rPr>
        <w:t>MercE</w:t>
      </w:r>
      <w:r w:rsidRPr="00D114BE">
        <w:rPr>
          <w:rFonts w:ascii="Times New Roman" w:hAnsi="Times New Roman"/>
          <w:i/>
          <w:iCs/>
          <w:sz w:val="24"/>
          <w:szCs w:val="24"/>
        </w:rPr>
        <w:t>x</w:t>
      </w:r>
      <w:r w:rsidRPr="00D114BE">
        <w:rPr>
          <w:rFonts w:ascii="Times New Roman" w:hAnsi="Times New Roman"/>
          <w:i/>
          <w:iCs/>
          <w:sz w:val="24"/>
          <w:szCs w:val="24"/>
        </w:rPr>
        <w:t>change</w:t>
      </w:r>
      <w:proofErr w:type="spellEnd"/>
      <w:r w:rsidRPr="00D114BE">
        <w:rPr>
          <w:rFonts w:ascii="Times New Roman" w:hAnsi="Times New Roman"/>
          <w:i/>
          <w:iCs/>
          <w:sz w:val="24"/>
          <w:szCs w:val="24"/>
        </w:rPr>
        <w:t>, L.L.C</w:t>
      </w:r>
      <w:r w:rsidRPr="00D114BE">
        <w:rPr>
          <w:rFonts w:ascii="Times New Roman" w:hAnsi="Times New Roman"/>
          <w:sz w:val="24"/>
          <w:szCs w:val="24"/>
        </w:rPr>
        <w:t>., 547 U.S. 388, 390 (2006).</w:t>
      </w:r>
    </w:p>
    <w:p w:rsidR="009D4400" w:rsidRPr="00D114BE" w:rsidRDefault="00A859E4" w:rsidP="00E5396D">
      <w:pPr>
        <w:widowControl/>
        <w:spacing w:before="120"/>
        <w:ind w:firstLine="360"/>
        <w:jc w:val="center"/>
        <w:rPr>
          <w:rFonts w:ascii="Times New Roman" w:hAnsi="Times New Roman"/>
          <w:sz w:val="24"/>
          <w:szCs w:val="24"/>
        </w:rPr>
      </w:pPr>
      <w:r w:rsidRPr="00D114BE">
        <w:rPr>
          <w:rFonts w:ascii="Times New Roman" w:hAnsi="Times New Roman"/>
          <w:b/>
          <w:bCs/>
          <w:sz w:val="24"/>
          <w:szCs w:val="24"/>
        </w:rPr>
        <w:t>I</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Copyright Act of 1976 authorizes courts to "grant temporary and final injunctions on such terms as [they] may deem reasonable to prevent or restrain infringement of a copyright." 17 U.S.C. </w:t>
      </w:r>
      <w:r w:rsidR="00D114BE">
        <w:rPr>
          <w:rFonts w:ascii="Times New Roman" w:hAnsi="Times New Roman"/>
          <w:sz w:val="24"/>
          <w:szCs w:val="24"/>
        </w:rPr>
        <w:t xml:space="preserve"> </w:t>
      </w:r>
      <w:proofErr w:type="gramStart"/>
      <w:r w:rsidR="00D114BE">
        <w:rPr>
          <w:rFonts w:ascii="Times New Roman" w:hAnsi="Times New Roman"/>
          <w:sz w:val="24"/>
          <w:szCs w:val="24"/>
        </w:rPr>
        <w:t xml:space="preserve">§ </w:t>
      </w:r>
      <w:r w:rsidR="00E5396D">
        <w:rPr>
          <w:rFonts w:ascii="Times New Roman" w:hAnsi="Times New Roman"/>
          <w:sz w:val="24"/>
          <w:szCs w:val="24"/>
        </w:rPr>
        <w:t xml:space="preserve"> 502(a).</w:t>
      </w:r>
      <w:proofErr w:type="gramEnd"/>
      <w:r w:rsidR="00E5396D">
        <w:rPr>
          <w:rFonts w:ascii="Times New Roman" w:hAnsi="Times New Roman"/>
          <w:sz w:val="24"/>
          <w:szCs w:val="24"/>
        </w:rPr>
        <w:t xml:space="preserve"> And, as the District </w:t>
      </w:r>
      <w:r w:rsidRPr="00D114BE">
        <w:rPr>
          <w:rFonts w:ascii="Times New Roman" w:hAnsi="Times New Roman"/>
          <w:sz w:val="24"/>
          <w:szCs w:val="24"/>
        </w:rPr>
        <w:t xml:space="preserve">[*16] Court stated, this Court has long issued preliminary injunctions in copyright cases upon a finding of (a) irreparable harm and (b) either (1) likelihood of success on the merits or (2) sufficiently serious questions going to the merits to make them a fair ground for litigation and a balance of hardships tipping decidedly toward the party requesting the preliminary relief. </w:t>
      </w:r>
      <w:r w:rsidRPr="00D114BE">
        <w:rPr>
          <w:rFonts w:ascii="Times New Roman" w:hAnsi="Times New Roman"/>
          <w:i/>
          <w:iCs/>
          <w:sz w:val="24"/>
          <w:szCs w:val="24"/>
        </w:rPr>
        <w:t>See, e.g., NXIVM Corp. v. Ross Inst</w:t>
      </w:r>
      <w:r w:rsidRPr="00D114BE">
        <w:rPr>
          <w:rFonts w:ascii="Times New Roman" w:hAnsi="Times New Roman"/>
          <w:sz w:val="24"/>
          <w:szCs w:val="24"/>
        </w:rPr>
        <w:t>., 364 F.3d 471, 476 (2d Cir. 2004).</w:t>
      </w:r>
      <w:r w:rsidR="007E6620" w:rsidRPr="00D114BE">
        <w:rPr>
          <w:rStyle w:val="FootnoteReference"/>
          <w:rFonts w:ascii="Times New Roman" w:hAnsi="Times New Roman"/>
          <w:sz w:val="24"/>
          <w:szCs w:val="24"/>
        </w:rPr>
        <w:footnoteReference w:id="5"/>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Thus, once a plaintiff establishes a  [*17] likelihood of success on the merits, the only additional requirement is a showing that the plaintiff will be irreparably harmed if the preliminary injunction does not issue. And traditionally, this Court has presumed that a plaintiff likely to prevail on the merits of a copyright claim is also likely to suffer irreparable harm if an injunction does not issue. </w:t>
      </w:r>
      <w:r w:rsidRPr="00D114BE">
        <w:rPr>
          <w:rFonts w:ascii="Times New Roman" w:hAnsi="Times New Roman"/>
          <w:i/>
          <w:iCs/>
          <w:sz w:val="24"/>
          <w:szCs w:val="24"/>
        </w:rPr>
        <w:t xml:space="preserve">See, e.g., Richard </w:t>
      </w:r>
      <w:proofErr w:type="spellStart"/>
      <w:r w:rsidRPr="00D114BE">
        <w:rPr>
          <w:rFonts w:ascii="Times New Roman" w:hAnsi="Times New Roman"/>
          <w:i/>
          <w:iCs/>
          <w:sz w:val="24"/>
          <w:szCs w:val="24"/>
        </w:rPr>
        <w:t>Feiner</w:t>
      </w:r>
      <w:proofErr w:type="spellEnd"/>
      <w:r w:rsidRPr="00D114BE">
        <w:rPr>
          <w:rFonts w:ascii="Times New Roman" w:hAnsi="Times New Roman"/>
          <w:i/>
          <w:iCs/>
          <w:sz w:val="24"/>
          <w:szCs w:val="24"/>
        </w:rPr>
        <w:t xml:space="preserve"> &amp; Co., Inc. v. Turner </w:t>
      </w:r>
      <w:proofErr w:type="spellStart"/>
      <w:r w:rsidRPr="00D114BE">
        <w:rPr>
          <w:rFonts w:ascii="Times New Roman" w:hAnsi="Times New Roman"/>
          <w:i/>
          <w:iCs/>
          <w:sz w:val="24"/>
          <w:szCs w:val="24"/>
        </w:rPr>
        <w:t>Entm't</w:t>
      </w:r>
      <w:proofErr w:type="spellEnd"/>
      <w:r w:rsidRPr="00D114BE">
        <w:rPr>
          <w:rFonts w:ascii="Times New Roman" w:hAnsi="Times New Roman"/>
          <w:i/>
          <w:iCs/>
          <w:sz w:val="24"/>
          <w:szCs w:val="24"/>
        </w:rPr>
        <w:t xml:space="preserve"> Co</w:t>
      </w:r>
      <w:r w:rsidRPr="00D114BE">
        <w:rPr>
          <w:rFonts w:ascii="Times New Roman" w:hAnsi="Times New Roman"/>
          <w:sz w:val="24"/>
          <w:szCs w:val="24"/>
        </w:rPr>
        <w:t>., 98 F.3d 33, 34 (2d Cir. 1996).</w:t>
      </w:r>
    </w:p>
    <w:p w:rsidR="007E662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This Court has applied this presumption in several ways. Some decisions have interpreted the presumption to mean that a plaintiff likely to prevail on the merits does not need to make a detailed showing of irreparable harm.</w:t>
      </w:r>
      <w:r w:rsidR="007E6620" w:rsidRPr="00D114BE">
        <w:rPr>
          <w:rFonts w:ascii="Times New Roman" w:hAnsi="Times New Roman"/>
          <w:sz w:val="24"/>
          <w:szCs w:val="24"/>
        </w:rPr>
        <w:t xml:space="preserve"> </w:t>
      </w:r>
      <w:r w:rsidRPr="00D114BE">
        <w:rPr>
          <w:rFonts w:ascii="Times New Roman" w:hAnsi="Times New Roman"/>
          <w:sz w:val="24"/>
          <w:szCs w:val="24"/>
        </w:rPr>
        <w:t xml:space="preserve"> Other cases have discussed the presumption as though it applies automatically and is </w:t>
      </w:r>
      <w:proofErr w:type="spellStart"/>
      <w:r w:rsidRPr="00D114BE">
        <w:rPr>
          <w:rFonts w:ascii="Times New Roman" w:hAnsi="Times New Roman"/>
          <w:sz w:val="24"/>
          <w:szCs w:val="24"/>
        </w:rPr>
        <w:t>irrebuttable</w:t>
      </w:r>
      <w:proofErr w:type="spellEnd"/>
      <w:r w:rsidRPr="00D114BE">
        <w:rPr>
          <w:rFonts w:ascii="Times New Roman" w:hAnsi="Times New Roman"/>
          <w:sz w:val="24"/>
          <w:szCs w:val="24"/>
        </w:rPr>
        <w:t xml:space="preserve">. </w:t>
      </w:r>
      <w:r w:rsidR="007E6620" w:rsidRPr="00D114BE">
        <w:rPr>
          <w:rFonts w:ascii="Times New Roman" w:hAnsi="Times New Roman"/>
          <w:sz w:val="24"/>
          <w:szCs w:val="24"/>
        </w:rPr>
        <w:t xml:space="preserve"> </w:t>
      </w:r>
      <w:r w:rsidRPr="00D114BE">
        <w:rPr>
          <w:rFonts w:ascii="Times New Roman" w:hAnsi="Times New Roman"/>
          <w:sz w:val="24"/>
          <w:szCs w:val="24"/>
        </w:rPr>
        <w:t>A few decisions, by contrast, have found the presumption rebu</w:t>
      </w:r>
      <w:r w:rsidRPr="00D114BE">
        <w:rPr>
          <w:rFonts w:ascii="Times New Roman" w:hAnsi="Times New Roman"/>
          <w:sz w:val="24"/>
          <w:szCs w:val="24"/>
        </w:rPr>
        <w:t>t</w:t>
      </w:r>
      <w:r w:rsidRPr="00D114BE">
        <w:rPr>
          <w:rFonts w:ascii="Times New Roman" w:hAnsi="Times New Roman"/>
          <w:sz w:val="24"/>
          <w:szCs w:val="24"/>
        </w:rPr>
        <w:t xml:space="preserve">table where the plaintiff delayed in bringing the action seeking an injunction. </w:t>
      </w:r>
    </w:p>
    <w:p w:rsidR="00E5396D"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Under any of these articulations, however, this Court has nearly always issued injunctions in copyright cases as a matter of course upon a finding of likelihood of success on the merits. </w:t>
      </w:r>
    </w:p>
    <w:p w:rsidR="007E6620" w:rsidRPr="00D114BE" w:rsidRDefault="007E6620" w:rsidP="00E5396D">
      <w:pPr>
        <w:widowControl/>
        <w:spacing w:before="120"/>
        <w:ind w:firstLine="360"/>
        <w:jc w:val="both"/>
        <w:rPr>
          <w:rFonts w:ascii="Times New Roman" w:hAnsi="Times New Roman"/>
          <w:sz w:val="24"/>
          <w:szCs w:val="24"/>
        </w:rPr>
      </w:pPr>
    </w:p>
    <w:p w:rsidR="009D4400" w:rsidRPr="00D114BE" w:rsidRDefault="00A859E4" w:rsidP="00E5396D">
      <w:pPr>
        <w:widowControl/>
        <w:spacing w:before="120"/>
        <w:ind w:firstLine="360"/>
        <w:jc w:val="center"/>
        <w:rPr>
          <w:rFonts w:ascii="Times New Roman" w:hAnsi="Times New Roman"/>
          <w:sz w:val="24"/>
          <w:szCs w:val="24"/>
        </w:rPr>
      </w:pPr>
      <w:r w:rsidRPr="00D114BE">
        <w:rPr>
          <w:rFonts w:ascii="Times New Roman" w:hAnsi="Times New Roman"/>
          <w:b/>
          <w:bCs/>
          <w:sz w:val="24"/>
          <w:szCs w:val="24"/>
        </w:rPr>
        <w:t>II</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Defendants do not claim that the District Court failed to apply this Circuit's longstanding pr</w:t>
      </w:r>
      <w:r w:rsidRPr="00D114BE">
        <w:rPr>
          <w:rFonts w:ascii="Times New Roman" w:hAnsi="Times New Roman"/>
          <w:sz w:val="24"/>
          <w:szCs w:val="24"/>
        </w:rPr>
        <w:t>e</w:t>
      </w:r>
      <w:r w:rsidRPr="00D114BE">
        <w:rPr>
          <w:rFonts w:ascii="Times New Roman" w:hAnsi="Times New Roman"/>
          <w:sz w:val="24"/>
          <w:szCs w:val="24"/>
        </w:rPr>
        <w:t xml:space="preserve">liminary injunction standard. Rather, they argue both that this standard is an unconstitutional prior restraint on speech and that it is in conflict with the Supreme Court's decision in </w:t>
      </w:r>
      <w:r w:rsidRPr="00D114BE">
        <w:rPr>
          <w:rFonts w:ascii="Times New Roman" w:hAnsi="Times New Roman"/>
          <w:i/>
          <w:iCs/>
          <w:sz w:val="24"/>
          <w:szCs w:val="24"/>
        </w:rPr>
        <w:t>eBay</w:t>
      </w:r>
      <w:r w:rsidRPr="00D114BE">
        <w:rPr>
          <w:rFonts w:ascii="Times New Roman" w:hAnsi="Times New Roman"/>
          <w:sz w:val="24"/>
          <w:szCs w:val="24"/>
        </w:rPr>
        <w:t xml:space="preserve">. We agree that </w:t>
      </w:r>
      <w:r w:rsidRPr="00D114BE">
        <w:rPr>
          <w:rFonts w:ascii="Times New Roman" w:hAnsi="Times New Roman"/>
          <w:i/>
          <w:iCs/>
          <w:sz w:val="24"/>
          <w:szCs w:val="24"/>
        </w:rPr>
        <w:t>eBay</w:t>
      </w:r>
      <w:r w:rsidRPr="00D114BE">
        <w:rPr>
          <w:rFonts w:ascii="Times New Roman" w:hAnsi="Times New Roman"/>
          <w:sz w:val="24"/>
          <w:szCs w:val="24"/>
        </w:rPr>
        <w:t xml:space="preserve"> abrogated parts of this Court's preliminary injunction standard in copyright cases, and a</w:t>
      </w:r>
      <w:r w:rsidRPr="00D114BE">
        <w:rPr>
          <w:rFonts w:ascii="Times New Roman" w:hAnsi="Times New Roman"/>
          <w:sz w:val="24"/>
          <w:szCs w:val="24"/>
        </w:rPr>
        <w:t>c</w:t>
      </w:r>
      <w:r w:rsidRPr="00D114BE">
        <w:rPr>
          <w:rFonts w:ascii="Times New Roman" w:hAnsi="Times New Roman"/>
          <w:sz w:val="24"/>
          <w:szCs w:val="24"/>
        </w:rPr>
        <w:t>cordingly, this case must be remanded to the District Court to reevaluate Salinger's preliminary i</w:t>
      </w:r>
      <w:r w:rsidRPr="00D114BE">
        <w:rPr>
          <w:rFonts w:ascii="Times New Roman" w:hAnsi="Times New Roman"/>
          <w:sz w:val="24"/>
          <w:szCs w:val="24"/>
        </w:rPr>
        <w:t>n</w:t>
      </w:r>
      <w:r w:rsidRPr="00D114BE">
        <w:rPr>
          <w:rFonts w:ascii="Times New Roman" w:hAnsi="Times New Roman"/>
          <w:sz w:val="24"/>
          <w:szCs w:val="24"/>
        </w:rPr>
        <w:t>junction motion. In light of that holding, we need not decide whether the preliminary injunction i</w:t>
      </w:r>
      <w:r w:rsidRPr="00D114BE">
        <w:rPr>
          <w:rFonts w:ascii="Times New Roman" w:hAnsi="Times New Roman"/>
          <w:sz w:val="24"/>
          <w:szCs w:val="24"/>
        </w:rPr>
        <w:t>s</w:t>
      </w:r>
      <w:r w:rsidRPr="00D114BE">
        <w:rPr>
          <w:rFonts w:ascii="Times New Roman" w:hAnsi="Times New Roman"/>
          <w:sz w:val="24"/>
          <w:szCs w:val="24"/>
        </w:rPr>
        <w:t>sued by the District Court constituted an u</w:t>
      </w:r>
      <w:r w:rsidRPr="00D114BE">
        <w:rPr>
          <w:rFonts w:ascii="Times New Roman" w:hAnsi="Times New Roman"/>
          <w:sz w:val="24"/>
          <w:szCs w:val="24"/>
        </w:rPr>
        <w:t>n</w:t>
      </w:r>
      <w:r w:rsidRPr="00D114BE">
        <w:rPr>
          <w:rFonts w:ascii="Times New Roman" w:hAnsi="Times New Roman"/>
          <w:sz w:val="24"/>
          <w:szCs w:val="24"/>
        </w:rPr>
        <w:t>constitutional prior restraint on speech.</w:t>
      </w:r>
    </w:p>
    <w:p w:rsidR="009D4400" w:rsidRPr="00D114BE" w:rsidRDefault="00A859E4" w:rsidP="00E5396D">
      <w:pPr>
        <w:widowControl/>
        <w:spacing w:before="120"/>
        <w:ind w:firstLine="360"/>
        <w:jc w:val="both"/>
        <w:rPr>
          <w:rFonts w:ascii="Times New Roman" w:hAnsi="Times New Roman"/>
          <w:sz w:val="24"/>
          <w:szCs w:val="24"/>
        </w:rPr>
      </w:pPr>
      <w:proofErr w:type="gramStart"/>
      <w:r w:rsidRPr="00D114BE">
        <w:rPr>
          <w:rFonts w:ascii="Times New Roman" w:hAnsi="Times New Roman"/>
          <w:i/>
          <w:iCs/>
          <w:sz w:val="24"/>
          <w:szCs w:val="24"/>
        </w:rPr>
        <w:t>eBay</w:t>
      </w:r>
      <w:proofErr w:type="gramEnd"/>
      <w:r w:rsidR="00E5396D">
        <w:rPr>
          <w:rFonts w:ascii="Times New Roman" w:hAnsi="Times New Roman"/>
          <w:sz w:val="24"/>
          <w:szCs w:val="24"/>
        </w:rPr>
        <w:t xml:space="preserve"> involved the propriety </w:t>
      </w:r>
      <w:r w:rsidRPr="00D114BE">
        <w:rPr>
          <w:rFonts w:ascii="Times New Roman" w:hAnsi="Times New Roman"/>
          <w:sz w:val="24"/>
          <w:szCs w:val="24"/>
        </w:rPr>
        <w:t>[*20] of a permanent injunction after a finding of patent infring</w:t>
      </w:r>
      <w:r w:rsidRPr="00D114BE">
        <w:rPr>
          <w:rFonts w:ascii="Times New Roman" w:hAnsi="Times New Roman"/>
          <w:sz w:val="24"/>
          <w:szCs w:val="24"/>
        </w:rPr>
        <w:t>e</w:t>
      </w:r>
      <w:r w:rsidRPr="00D114BE">
        <w:rPr>
          <w:rFonts w:ascii="Times New Roman" w:hAnsi="Times New Roman"/>
          <w:sz w:val="24"/>
          <w:szCs w:val="24"/>
        </w:rPr>
        <w:t xml:space="preserve">ment. The United States District Court for the Eastern District of Virginia had ostensibly applied the traditional four-factor test for determining whether a permanent injunction should issue: </w:t>
      </w:r>
    </w:p>
    <w:p w:rsidR="009D4400" w:rsidRPr="00D114BE" w:rsidRDefault="00A859E4" w:rsidP="00E5396D">
      <w:pPr>
        <w:widowControl/>
        <w:spacing w:before="120"/>
        <w:ind w:left="600" w:right="600"/>
        <w:jc w:val="both"/>
        <w:rPr>
          <w:rFonts w:ascii="Times New Roman" w:hAnsi="Times New Roman"/>
          <w:sz w:val="24"/>
          <w:szCs w:val="24"/>
        </w:rPr>
      </w:pPr>
      <w:r w:rsidRPr="00D114BE">
        <w:rPr>
          <w:rFonts w:ascii="Times New Roman" w:hAnsi="Times New Roman"/>
          <w:sz w:val="24"/>
          <w:szCs w:val="24"/>
        </w:rPr>
        <w:t>Issuance of injunctive relief against [the defendants] is governed by traditional equit</w:t>
      </w:r>
      <w:r w:rsidRPr="00D114BE">
        <w:rPr>
          <w:rFonts w:ascii="Times New Roman" w:hAnsi="Times New Roman"/>
          <w:sz w:val="24"/>
          <w:szCs w:val="24"/>
        </w:rPr>
        <w:t>a</w:t>
      </w:r>
      <w:r w:rsidRPr="00D114BE">
        <w:rPr>
          <w:rFonts w:ascii="Times New Roman" w:hAnsi="Times New Roman"/>
          <w:sz w:val="24"/>
          <w:szCs w:val="24"/>
        </w:rPr>
        <w:t>ble principles, which require consideration of (</w:t>
      </w:r>
      <w:proofErr w:type="spellStart"/>
      <w:r w:rsidRPr="00D114BE">
        <w:rPr>
          <w:rFonts w:ascii="Times New Roman" w:hAnsi="Times New Roman"/>
          <w:sz w:val="24"/>
          <w:szCs w:val="24"/>
        </w:rPr>
        <w:t>i</w:t>
      </w:r>
      <w:proofErr w:type="spellEnd"/>
      <w:r w:rsidRPr="00D114BE">
        <w:rPr>
          <w:rFonts w:ascii="Times New Roman" w:hAnsi="Times New Roman"/>
          <w:sz w:val="24"/>
          <w:szCs w:val="24"/>
        </w:rPr>
        <w:t>) whether the plaintiff would face i</w:t>
      </w:r>
      <w:r w:rsidRPr="00D114BE">
        <w:rPr>
          <w:rFonts w:ascii="Times New Roman" w:hAnsi="Times New Roman"/>
          <w:sz w:val="24"/>
          <w:szCs w:val="24"/>
        </w:rPr>
        <w:t>r</w:t>
      </w:r>
      <w:r w:rsidRPr="00D114BE">
        <w:rPr>
          <w:rFonts w:ascii="Times New Roman" w:hAnsi="Times New Roman"/>
          <w:sz w:val="24"/>
          <w:szCs w:val="24"/>
        </w:rPr>
        <w:t>reparable injury if the injunction did not issue, (ii) whether the plaintiff has an adequate remedy at law, (iii) whether granting the injunction is in the public interest, and (iv) whether the balance of the hardships tips in the plaintiff's favor.</w:t>
      </w:r>
    </w:p>
    <w:p w:rsidR="009D4400" w:rsidRPr="00D114BE" w:rsidRDefault="00A859E4" w:rsidP="00E5396D">
      <w:pPr>
        <w:widowControl/>
        <w:spacing w:before="120"/>
        <w:jc w:val="both"/>
        <w:rPr>
          <w:rFonts w:ascii="Times New Roman" w:hAnsi="Times New Roman"/>
          <w:sz w:val="24"/>
          <w:szCs w:val="24"/>
        </w:rPr>
      </w:pPr>
      <w:r w:rsidRPr="00D114BE">
        <w:rPr>
          <w:rFonts w:ascii="Times New Roman" w:hAnsi="Times New Roman"/>
          <w:sz w:val="24"/>
          <w:szCs w:val="24"/>
        </w:rPr>
        <w:t>In its application of this test, however, the district court "appeared to adopt certain expansive pri</w:t>
      </w:r>
      <w:r w:rsidRPr="00D114BE">
        <w:rPr>
          <w:rFonts w:ascii="Times New Roman" w:hAnsi="Times New Roman"/>
          <w:sz w:val="24"/>
          <w:szCs w:val="24"/>
        </w:rPr>
        <w:t>n</w:t>
      </w:r>
      <w:r w:rsidRPr="00D114BE">
        <w:rPr>
          <w:rFonts w:ascii="Times New Roman" w:hAnsi="Times New Roman"/>
          <w:sz w:val="24"/>
          <w:szCs w:val="24"/>
        </w:rPr>
        <w:t xml:space="preserve">ciples suggesting that injunctive relief could not issue in a broad swath of cases." Specifically, the district court found that "the evidence of the plaintiff's willingness to license its patents, its lack of commercial activity in practicing the patents, and its </w:t>
      </w:r>
      <w:r w:rsidR="005100D5">
        <w:rPr>
          <w:rFonts w:ascii="Times New Roman" w:hAnsi="Times New Roman"/>
          <w:sz w:val="24"/>
          <w:szCs w:val="24"/>
        </w:rPr>
        <w:t>comments to the media as to its</w:t>
      </w:r>
      <w:r w:rsidRPr="00D114BE">
        <w:rPr>
          <w:rFonts w:ascii="Times New Roman" w:hAnsi="Times New Roman"/>
          <w:sz w:val="24"/>
          <w:szCs w:val="24"/>
        </w:rPr>
        <w:t xml:space="preserve"> [*21] intent with respect to enforcement of its patent rights, are sufficient to rebut the presumption that it will suffer irreparable harm if an injunction does not issue." The Federal Circuit reversed on appeal, a</w:t>
      </w:r>
      <w:r w:rsidRPr="00D114BE">
        <w:rPr>
          <w:rFonts w:ascii="Times New Roman" w:hAnsi="Times New Roman"/>
          <w:sz w:val="24"/>
          <w:szCs w:val="24"/>
        </w:rPr>
        <w:t>p</w:t>
      </w:r>
      <w:r w:rsidRPr="00D114BE">
        <w:rPr>
          <w:rFonts w:ascii="Times New Roman" w:hAnsi="Times New Roman"/>
          <w:sz w:val="24"/>
          <w:szCs w:val="24"/>
        </w:rPr>
        <w:t xml:space="preserve">plying a "general rule . . . that a permanent injunction will issue once infringement and validity have been adjudged." The court cited for this rule </w:t>
      </w:r>
      <w:r w:rsidRPr="00D114BE">
        <w:rPr>
          <w:rFonts w:ascii="Times New Roman" w:hAnsi="Times New Roman"/>
          <w:i/>
          <w:iCs/>
          <w:sz w:val="24"/>
          <w:szCs w:val="24"/>
        </w:rPr>
        <w:t>Richardson v. Suzuki Motor Co</w:t>
      </w:r>
      <w:r w:rsidRPr="00D114BE">
        <w:rPr>
          <w:rFonts w:ascii="Times New Roman" w:hAnsi="Times New Roman"/>
          <w:sz w:val="24"/>
          <w:szCs w:val="24"/>
        </w:rPr>
        <w:t>, which equates the "general rule" with a rule that "[</w:t>
      </w:r>
      <w:proofErr w:type="spellStart"/>
      <w:proofErr w:type="gramStart"/>
      <w:r w:rsidRPr="00D114BE">
        <w:rPr>
          <w:rFonts w:ascii="Times New Roman" w:hAnsi="Times New Roman"/>
          <w:sz w:val="24"/>
          <w:szCs w:val="24"/>
        </w:rPr>
        <w:t>i</w:t>
      </w:r>
      <w:proofErr w:type="spellEnd"/>
      <w:r w:rsidRPr="00D114BE">
        <w:rPr>
          <w:rFonts w:ascii="Times New Roman" w:hAnsi="Times New Roman"/>
          <w:sz w:val="24"/>
          <w:szCs w:val="24"/>
        </w:rPr>
        <w:t>]n</w:t>
      </w:r>
      <w:proofErr w:type="gramEnd"/>
      <w:r w:rsidRPr="00D114BE">
        <w:rPr>
          <w:rFonts w:ascii="Times New Roman" w:hAnsi="Times New Roman"/>
          <w:sz w:val="24"/>
          <w:szCs w:val="24"/>
        </w:rPr>
        <w:t xml:space="preserve"> matters involving patent rights, irreparable harm has been pr</w:t>
      </w:r>
      <w:r w:rsidRPr="00D114BE">
        <w:rPr>
          <w:rFonts w:ascii="Times New Roman" w:hAnsi="Times New Roman"/>
          <w:sz w:val="24"/>
          <w:szCs w:val="24"/>
        </w:rPr>
        <w:t>e</w:t>
      </w:r>
      <w:r w:rsidRPr="00D114BE">
        <w:rPr>
          <w:rFonts w:ascii="Times New Roman" w:hAnsi="Times New Roman"/>
          <w:sz w:val="24"/>
          <w:szCs w:val="24"/>
        </w:rPr>
        <w:t xml:space="preserve">sumed when a clear showing has been made of patent validity and infringement." </w:t>
      </w:r>
    </w:p>
    <w:p w:rsidR="009D4400" w:rsidRPr="00D114BE" w:rsidRDefault="00A859E4" w:rsidP="005100D5">
      <w:pPr>
        <w:widowControl/>
        <w:spacing w:before="120"/>
        <w:ind w:firstLine="360"/>
        <w:jc w:val="both"/>
        <w:rPr>
          <w:rFonts w:ascii="Times New Roman" w:hAnsi="Times New Roman"/>
          <w:sz w:val="24"/>
          <w:szCs w:val="24"/>
        </w:rPr>
      </w:pPr>
      <w:r w:rsidRPr="00D114BE">
        <w:rPr>
          <w:rFonts w:ascii="Times New Roman" w:hAnsi="Times New Roman"/>
          <w:sz w:val="24"/>
          <w:szCs w:val="24"/>
        </w:rPr>
        <w:t>Writing for a unanimous Court, Justice Thomas held that neither the district court nor the Fe</w:t>
      </w:r>
      <w:r w:rsidRPr="00D114BE">
        <w:rPr>
          <w:rFonts w:ascii="Times New Roman" w:hAnsi="Times New Roman"/>
          <w:sz w:val="24"/>
          <w:szCs w:val="24"/>
        </w:rPr>
        <w:t>d</w:t>
      </w:r>
      <w:r w:rsidRPr="00D114BE">
        <w:rPr>
          <w:rFonts w:ascii="Times New Roman" w:hAnsi="Times New Roman"/>
          <w:sz w:val="24"/>
          <w:szCs w:val="24"/>
        </w:rPr>
        <w:t xml:space="preserve">eral Circuit correctly applied the equitable factors: </w:t>
      </w:r>
    </w:p>
    <w:p w:rsidR="009D4400" w:rsidRPr="00D114BE" w:rsidRDefault="00A859E4" w:rsidP="005100D5">
      <w:pPr>
        <w:widowControl/>
        <w:spacing w:before="120"/>
        <w:ind w:left="600" w:right="600"/>
        <w:jc w:val="both"/>
        <w:rPr>
          <w:rFonts w:ascii="Times New Roman" w:hAnsi="Times New Roman"/>
          <w:sz w:val="24"/>
          <w:szCs w:val="24"/>
        </w:rPr>
      </w:pPr>
      <w:r w:rsidRPr="00D114BE">
        <w:rPr>
          <w:rFonts w:ascii="Times New Roman" w:hAnsi="Times New Roman"/>
          <w:sz w:val="24"/>
          <w:szCs w:val="24"/>
        </w:rPr>
        <w:t xml:space="preserve">   According to well-established principles of equity, a plaintiff seeking a permanent i</w:t>
      </w:r>
      <w:r w:rsidRPr="00D114BE">
        <w:rPr>
          <w:rFonts w:ascii="Times New Roman" w:hAnsi="Times New Roman"/>
          <w:sz w:val="24"/>
          <w:szCs w:val="24"/>
        </w:rPr>
        <w:t>n</w:t>
      </w:r>
      <w:r w:rsidRPr="00D114BE">
        <w:rPr>
          <w:rFonts w:ascii="Times New Roman" w:hAnsi="Times New Roman"/>
          <w:sz w:val="24"/>
          <w:szCs w:val="24"/>
        </w:rPr>
        <w:t xml:space="preserve">junction must satisfy a four-factor test before a court may grant such relief. A plaintiff must demonstrate: (1) that </w:t>
      </w:r>
      <w:r w:rsidR="005100D5">
        <w:rPr>
          <w:rFonts w:ascii="Times New Roman" w:hAnsi="Times New Roman"/>
          <w:sz w:val="24"/>
          <w:szCs w:val="24"/>
        </w:rPr>
        <w:t xml:space="preserve">it has suffered an irreparable </w:t>
      </w:r>
      <w:r w:rsidRPr="00D114BE">
        <w:rPr>
          <w:rFonts w:ascii="Times New Roman" w:hAnsi="Times New Roman"/>
          <w:sz w:val="24"/>
          <w:szCs w:val="24"/>
        </w:rPr>
        <w:t>[*22] injury; (2) that remedies available at law, such as monetary damages, are inadequate to compensate for that i</w:t>
      </w:r>
      <w:r w:rsidRPr="00D114BE">
        <w:rPr>
          <w:rFonts w:ascii="Times New Roman" w:hAnsi="Times New Roman"/>
          <w:sz w:val="24"/>
          <w:szCs w:val="24"/>
        </w:rPr>
        <w:t>n</w:t>
      </w:r>
      <w:r w:rsidRPr="00D114BE">
        <w:rPr>
          <w:rFonts w:ascii="Times New Roman" w:hAnsi="Times New Roman"/>
          <w:sz w:val="24"/>
          <w:szCs w:val="24"/>
        </w:rPr>
        <w:t xml:space="preserve">jury; (3) that, considering the balance of hardships between the plaintiff and defendant, a remedy in equity is warranted; and (4) that the public interest would not be disserved by a permanent injunction. </w:t>
      </w:r>
    </w:p>
    <w:p w:rsidR="009D4400" w:rsidRPr="00D114BE" w:rsidRDefault="00A859E4" w:rsidP="005100D5">
      <w:pPr>
        <w:widowControl/>
        <w:spacing w:before="120"/>
        <w:jc w:val="both"/>
        <w:rPr>
          <w:rFonts w:ascii="Times New Roman" w:hAnsi="Times New Roman"/>
          <w:sz w:val="24"/>
          <w:szCs w:val="24"/>
        </w:rPr>
      </w:pPr>
      <w:r w:rsidRPr="00D114BE">
        <w:rPr>
          <w:rFonts w:ascii="Times New Roman" w:hAnsi="Times New Roman"/>
          <w:sz w:val="24"/>
          <w:szCs w:val="24"/>
        </w:rPr>
        <w:t xml:space="preserve">Although the courts below had articulated the correct standard, they had both, albeit in different ways, applied "broad classifications" that were inconsistent with traditional equitable principles. </w:t>
      </w:r>
    </w:p>
    <w:p w:rsidR="009D4400" w:rsidRPr="00D114BE" w:rsidRDefault="00A859E4" w:rsidP="005100D5">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This Court has not directly addressed the scope of </w:t>
      </w:r>
      <w:r w:rsidRPr="00D114BE">
        <w:rPr>
          <w:rFonts w:ascii="Times New Roman" w:hAnsi="Times New Roman"/>
          <w:i/>
          <w:iCs/>
          <w:sz w:val="24"/>
          <w:szCs w:val="24"/>
        </w:rPr>
        <w:t>eBay</w:t>
      </w:r>
      <w:r w:rsidRPr="00D114BE">
        <w:rPr>
          <w:rFonts w:ascii="Times New Roman" w:hAnsi="Times New Roman"/>
          <w:sz w:val="24"/>
          <w:szCs w:val="24"/>
        </w:rPr>
        <w:t>.</w:t>
      </w:r>
      <w:r w:rsidR="0093121A" w:rsidRPr="00D114BE">
        <w:rPr>
          <w:rStyle w:val="FootnoteReference"/>
          <w:rFonts w:ascii="Times New Roman" w:hAnsi="Times New Roman"/>
          <w:sz w:val="24"/>
          <w:szCs w:val="24"/>
        </w:rPr>
        <w:footnoteReference w:id="6"/>
      </w:r>
      <w:r w:rsidR="0093121A" w:rsidRPr="00D114BE">
        <w:rPr>
          <w:rFonts w:ascii="Times New Roman" w:hAnsi="Times New Roman"/>
          <w:sz w:val="24"/>
          <w:szCs w:val="24"/>
        </w:rPr>
        <w:t xml:space="preserve">  </w:t>
      </w:r>
      <w:r w:rsidRPr="00D114BE">
        <w:rPr>
          <w:rFonts w:ascii="Times New Roman" w:hAnsi="Times New Roman"/>
          <w:sz w:val="24"/>
          <w:szCs w:val="24"/>
        </w:rPr>
        <w:t xml:space="preserve">And district courts in our Circuit have split on </w:t>
      </w:r>
      <w:r w:rsidRPr="00D114BE">
        <w:rPr>
          <w:rFonts w:ascii="Times New Roman" w:hAnsi="Times New Roman"/>
          <w:i/>
          <w:iCs/>
          <w:sz w:val="24"/>
          <w:szCs w:val="24"/>
        </w:rPr>
        <w:t>eBay's</w:t>
      </w:r>
      <w:r w:rsidRPr="00D114BE">
        <w:rPr>
          <w:rFonts w:ascii="Times New Roman" w:hAnsi="Times New Roman"/>
          <w:sz w:val="24"/>
          <w:szCs w:val="24"/>
        </w:rPr>
        <w:t xml:space="preserve"> reach. </w:t>
      </w:r>
    </w:p>
    <w:p w:rsidR="009D4400" w:rsidRPr="00D114BE" w:rsidRDefault="00A859E4" w:rsidP="005100D5">
      <w:pPr>
        <w:widowControl/>
        <w:spacing w:before="120"/>
        <w:ind w:firstLine="360"/>
        <w:jc w:val="both"/>
        <w:rPr>
          <w:rFonts w:ascii="Times New Roman" w:hAnsi="Times New Roman"/>
          <w:sz w:val="24"/>
          <w:szCs w:val="24"/>
        </w:rPr>
      </w:pPr>
      <w:r w:rsidRPr="00D114BE">
        <w:rPr>
          <w:rFonts w:ascii="Times New Roman" w:hAnsi="Times New Roman"/>
          <w:sz w:val="24"/>
          <w:szCs w:val="24"/>
        </w:rPr>
        <w:t>W</w:t>
      </w:r>
      <w:r w:rsidRPr="00D114BE">
        <w:rPr>
          <w:rFonts w:ascii="Times New Roman" w:hAnsi="Times New Roman"/>
          <w:b/>
          <w:i/>
          <w:sz w:val="24"/>
          <w:szCs w:val="24"/>
        </w:rPr>
        <w:t>e</w:t>
      </w:r>
      <w:r w:rsidRPr="00D114BE">
        <w:rPr>
          <w:rFonts w:ascii="Times New Roman" w:hAnsi="Times New Roman"/>
          <w:sz w:val="24"/>
          <w:szCs w:val="24"/>
        </w:rPr>
        <w:t xml:space="preserve"> hold today that </w:t>
      </w:r>
      <w:r w:rsidRPr="00D114BE">
        <w:rPr>
          <w:rFonts w:ascii="Times New Roman" w:hAnsi="Times New Roman"/>
          <w:i/>
          <w:iCs/>
          <w:sz w:val="24"/>
          <w:szCs w:val="24"/>
        </w:rPr>
        <w:t>eBay</w:t>
      </w:r>
      <w:r w:rsidRPr="00D114BE">
        <w:rPr>
          <w:rFonts w:ascii="Times New Roman" w:hAnsi="Times New Roman"/>
          <w:sz w:val="24"/>
          <w:szCs w:val="24"/>
        </w:rPr>
        <w:t xml:space="preserve"> applies with equal force (a) to preliminary injunctions (b) that are i</w:t>
      </w:r>
      <w:r w:rsidRPr="00D114BE">
        <w:rPr>
          <w:rFonts w:ascii="Times New Roman" w:hAnsi="Times New Roman"/>
          <w:sz w:val="24"/>
          <w:szCs w:val="24"/>
        </w:rPr>
        <w:t>s</w:t>
      </w:r>
      <w:r w:rsidRPr="00D114BE">
        <w:rPr>
          <w:rFonts w:ascii="Times New Roman" w:hAnsi="Times New Roman"/>
          <w:sz w:val="24"/>
          <w:szCs w:val="24"/>
        </w:rPr>
        <w:t xml:space="preserve">sued for alleged copyright infringement. First, nothing in the text or the logic of </w:t>
      </w:r>
      <w:r w:rsidRPr="00D114BE">
        <w:rPr>
          <w:rFonts w:ascii="Times New Roman" w:hAnsi="Times New Roman"/>
          <w:i/>
          <w:iCs/>
          <w:sz w:val="24"/>
          <w:szCs w:val="24"/>
        </w:rPr>
        <w:t>eBay</w:t>
      </w:r>
      <w:r w:rsidRPr="00D114BE">
        <w:rPr>
          <w:rFonts w:ascii="Times New Roman" w:hAnsi="Times New Roman"/>
          <w:sz w:val="24"/>
          <w:szCs w:val="24"/>
        </w:rPr>
        <w:t xml:space="preserve"> suggests that its rule is limited to patent cases. On the contrary, </w:t>
      </w:r>
      <w:r w:rsidRPr="00D114BE">
        <w:rPr>
          <w:rFonts w:ascii="Times New Roman" w:hAnsi="Times New Roman"/>
          <w:i/>
          <w:iCs/>
          <w:sz w:val="24"/>
          <w:szCs w:val="24"/>
        </w:rPr>
        <w:t>eBay</w:t>
      </w:r>
      <w:r w:rsidRPr="00D114BE">
        <w:rPr>
          <w:rFonts w:ascii="Times New Roman" w:hAnsi="Times New Roman"/>
          <w:sz w:val="24"/>
          <w:szCs w:val="24"/>
        </w:rPr>
        <w:t xml:space="preserve"> strongly indicates that the traditional princ</w:t>
      </w:r>
      <w:r w:rsidRPr="00D114BE">
        <w:rPr>
          <w:rFonts w:ascii="Times New Roman" w:hAnsi="Times New Roman"/>
          <w:sz w:val="24"/>
          <w:szCs w:val="24"/>
        </w:rPr>
        <w:t>i</w:t>
      </w:r>
      <w:r w:rsidRPr="00D114BE">
        <w:rPr>
          <w:rFonts w:ascii="Times New Roman" w:hAnsi="Times New Roman"/>
          <w:sz w:val="24"/>
          <w:szCs w:val="24"/>
        </w:rPr>
        <w:t>ple</w:t>
      </w:r>
      <w:r w:rsidR="005100D5">
        <w:rPr>
          <w:rFonts w:ascii="Times New Roman" w:hAnsi="Times New Roman"/>
          <w:sz w:val="24"/>
          <w:szCs w:val="24"/>
        </w:rPr>
        <w:t>s of equity it employed are the</w:t>
      </w:r>
      <w:r w:rsidRPr="00D114BE">
        <w:rPr>
          <w:rFonts w:ascii="Times New Roman" w:hAnsi="Times New Roman"/>
          <w:sz w:val="24"/>
          <w:szCs w:val="24"/>
        </w:rPr>
        <w:t xml:space="preserve"> [*25] presumptive standard for injunctions in any context.</w:t>
      </w:r>
      <w:r w:rsidR="0093121A" w:rsidRPr="00D114BE">
        <w:rPr>
          <w:rStyle w:val="FootnoteReference"/>
          <w:rFonts w:ascii="Times New Roman" w:hAnsi="Times New Roman"/>
          <w:sz w:val="24"/>
          <w:szCs w:val="24"/>
        </w:rPr>
        <w:footnoteReference w:id="7"/>
      </w:r>
      <w:r w:rsidR="0093121A" w:rsidRPr="00D114BE">
        <w:rPr>
          <w:rFonts w:ascii="Times New Roman" w:hAnsi="Times New Roman"/>
          <w:sz w:val="24"/>
          <w:szCs w:val="24"/>
        </w:rPr>
        <w:t xml:space="preserve">  </w:t>
      </w:r>
      <w:r w:rsidRPr="00D114BE">
        <w:rPr>
          <w:rFonts w:ascii="Times New Roman" w:hAnsi="Times New Roman"/>
          <w:sz w:val="24"/>
          <w:szCs w:val="24"/>
        </w:rPr>
        <w:t>Si</w:t>
      </w:r>
      <w:r w:rsidRPr="00D114BE">
        <w:rPr>
          <w:rFonts w:ascii="Times New Roman" w:hAnsi="Times New Roman"/>
          <w:sz w:val="24"/>
          <w:szCs w:val="24"/>
        </w:rPr>
        <w:t>g</w:t>
      </w:r>
      <w:r w:rsidRPr="00D114BE">
        <w:rPr>
          <w:rFonts w:ascii="Times New Roman" w:hAnsi="Times New Roman"/>
          <w:sz w:val="24"/>
          <w:szCs w:val="24"/>
        </w:rPr>
        <w:t xml:space="preserve">nificantly, after laying out the four-factor test quoted above, </w:t>
      </w:r>
      <w:r w:rsidRPr="00D114BE">
        <w:rPr>
          <w:rFonts w:ascii="Times New Roman" w:hAnsi="Times New Roman"/>
          <w:i/>
          <w:iCs/>
          <w:sz w:val="24"/>
          <w:szCs w:val="24"/>
        </w:rPr>
        <w:t>eBay</w:t>
      </w:r>
      <w:r w:rsidRPr="00D114BE">
        <w:rPr>
          <w:rFonts w:ascii="Times New Roman" w:hAnsi="Times New Roman"/>
          <w:sz w:val="24"/>
          <w:szCs w:val="24"/>
        </w:rPr>
        <w:t xml:space="preserve"> cites two cases: </w:t>
      </w:r>
      <w:r w:rsidRPr="00D114BE">
        <w:rPr>
          <w:rFonts w:ascii="Times New Roman" w:hAnsi="Times New Roman"/>
          <w:i/>
          <w:iCs/>
          <w:sz w:val="24"/>
          <w:szCs w:val="24"/>
        </w:rPr>
        <w:t>Weinberger v. Romero-</w:t>
      </w:r>
      <w:proofErr w:type="spellStart"/>
      <w:r w:rsidRPr="00D114BE">
        <w:rPr>
          <w:rFonts w:ascii="Times New Roman" w:hAnsi="Times New Roman"/>
          <w:i/>
          <w:iCs/>
          <w:sz w:val="24"/>
          <w:szCs w:val="24"/>
        </w:rPr>
        <w:t>Barcelo</w:t>
      </w:r>
      <w:proofErr w:type="spellEnd"/>
      <w:r w:rsidRPr="00D114BE">
        <w:rPr>
          <w:rFonts w:ascii="Times New Roman" w:hAnsi="Times New Roman"/>
          <w:sz w:val="24"/>
          <w:szCs w:val="24"/>
        </w:rPr>
        <w:t>, 456 U.S. 305, 311-13 (1982), which involved a permanent injunction after a fin</w:t>
      </w:r>
      <w:r w:rsidRPr="00D114BE">
        <w:rPr>
          <w:rFonts w:ascii="Times New Roman" w:hAnsi="Times New Roman"/>
          <w:sz w:val="24"/>
          <w:szCs w:val="24"/>
        </w:rPr>
        <w:t>d</w:t>
      </w:r>
      <w:r w:rsidRPr="00D114BE">
        <w:rPr>
          <w:rFonts w:ascii="Times New Roman" w:hAnsi="Times New Roman"/>
          <w:sz w:val="24"/>
          <w:szCs w:val="24"/>
        </w:rPr>
        <w:t xml:space="preserve">ing that the defendant violated the Federal Water Pollution Control Act, and </w:t>
      </w:r>
      <w:r w:rsidRPr="00D114BE">
        <w:rPr>
          <w:rFonts w:ascii="Times New Roman" w:hAnsi="Times New Roman"/>
          <w:i/>
          <w:iCs/>
          <w:sz w:val="24"/>
          <w:szCs w:val="24"/>
        </w:rPr>
        <w:t xml:space="preserve">Amoco Production Co. v. Village of </w:t>
      </w:r>
      <w:proofErr w:type="spellStart"/>
      <w:r w:rsidRPr="00D114BE">
        <w:rPr>
          <w:rFonts w:ascii="Times New Roman" w:hAnsi="Times New Roman"/>
          <w:i/>
          <w:iCs/>
          <w:sz w:val="24"/>
          <w:szCs w:val="24"/>
        </w:rPr>
        <w:t>Gambell</w:t>
      </w:r>
      <w:proofErr w:type="spellEnd"/>
      <w:r w:rsidRPr="00D114BE">
        <w:rPr>
          <w:rFonts w:ascii="Times New Roman" w:hAnsi="Times New Roman"/>
          <w:sz w:val="24"/>
          <w:szCs w:val="24"/>
        </w:rPr>
        <w:t xml:space="preserve">, 480 U.S. 531, 542 (1987), which involved a preliminary injunction in which the plaintiff alleged that the defendant was violating </w:t>
      </w:r>
      <w:r w:rsidR="005100D5">
        <w:rPr>
          <w:rFonts w:ascii="Times New Roman" w:hAnsi="Times New Roman"/>
          <w:sz w:val="24"/>
          <w:szCs w:val="24"/>
        </w:rPr>
        <w:t xml:space="preserve"> §</w:t>
      </w:r>
      <w:r w:rsidRPr="00D114BE">
        <w:rPr>
          <w:rFonts w:ascii="Times New Roman" w:hAnsi="Times New Roman"/>
          <w:sz w:val="24"/>
          <w:szCs w:val="24"/>
        </w:rPr>
        <w:t>810 of the Alaska National Interest Lands Conservation Act. The Court then looked to whether the logic of these cases should apply in the patent context. Reasoning that "'a major departure from the long tradition of equity practice should not be lightly implied,'" the Court concluded that "[</w:t>
      </w:r>
      <w:proofErr w:type="gramStart"/>
      <w:r w:rsidRPr="00D114BE">
        <w:rPr>
          <w:rFonts w:ascii="Times New Roman" w:hAnsi="Times New Roman"/>
          <w:sz w:val="24"/>
          <w:szCs w:val="24"/>
        </w:rPr>
        <w:t>t]</w:t>
      </w:r>
      <w:proofErr w:type="spellStart"/>
      <w:r w:rsidRPr="00D114BE">
        <w:rPr>
          <w:rFonts w:ascii="Times New Roman" w:hAnsi="Times New Roman"/>
          <w:sz w:val="24"/>
          <w:szCs w:val="24"/>
        </w:rPr>
        <w:t>hese</w:t>
      </w:r>
      <w:proofErr w:type="spellEnd"/>
      <w:proofErr w:type="gramEnd"/>
      <w:r w:rsidRPr="00D114BE">
        <w:rPr>
          <w:rFonts w:ascii="Times New Roman" w:hAnsi="Times New Roman"/>
          <w:sz w:val="24"/>
          <w:szCs w:val="24"/>
        </w:rPr>
        <w:t xml:space="preserve"> familiar principles apply with equal force to disput</w:t>
      </w:r>
      <w:r w:rsidR="005100D5">
        <w:rPr>
          <w:rFonts w:ascii="Times New Roman" w:hAnsi="Times New Roman"/>
          <w:sz w:val="24"/>
          <w:szCs w:val="24"/>
        </w:rPr>
        <w:t>es arising under the Patent Act.</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Moreover, the Court expressly relied upon copyright cases in reaching its conclusion. In r</w:t>
      </w:r>
      <w:r w:rsidRPr="00D114BE">
        <w:rPr>
          <w:rFonts w:ascii="Times New Roman" w:hAnsi="Times New Roman"/>
          <w:sz w:val="24"/>
          <w:szCs w:val="24"/>
        </w:rPr>
        <w:t>e</w:t>
      </w:r>
      <w:r w:rsidRPr="00D114BE">
        <w:rPr>
          <w:rFonts w:ascii="Times New Roman" w:hAnsi="Times New Roman"/>
          <w:sz w:val="24"/>
          <w:szCs w:val="24"/>
        </w:rPr>
        <w:t>sponse to the Federal Circuit's reasoning that the Patent Act's right to exclude justifies the prefe</w:t>
      </w:r>
      <w:r w:rsidRPr="00D114BE">
        <w:rPr>
          <w:rFonts w:ascii="Times New Roman" w:hAnsi="Times New Roman"/>
          <w:sz w:val="24"/>
          <w:szCs w:val="24"/>
        </w:rPr>
        <w:t>r</w:t>
      </w:r>
      <w:r w:rsidRPr="00D114BE">
        <w:rPr>
          <w:rFonts w:ascii="Times New Roman" w:hAnsi="Times New Roman"/>
          <w:sz w:val="24"/>
          <w:szCs w:val="24"/>
        </w:rPr>
        <w:t>ence for injunctive relief, the Court stated that "the creation of a right is distinct from the provision of remedies for violations of that right." In support of this distinction, it noted that "[</w:t>
      </w:r>
      <w:proofErr w:type="gramStart"/>
      <w:r w:rsidRPr="00D114BE">
        <w:rPr>
          <w:rFonts w:ascii="Times New Roman" w:hAnsi="Times New Roman"/>
          <w:sz w:val="24"/>
          <w:szCs w:val="24"/>
        </w:rPr>
        <w:t>l]</w:t>
      </w:r>
      <w:proofErr w:type="spellStart"/>
      <w:r w:rsidRPr="00D114BE">
        <w:rPr>
          <w:rFonts w:ascii="Times New Roman" w:hAnsi="Times New Roman"/>
          <w:sz w:val="24"/>
          <w:szCs w:val="24"/>
        </w:rPr>
        <w:t>ike</w:t>
      </w:r>
      <w:proofErr w:type="spellEnd"/>
      <w:proofErr w:type="gramEnd"/>
      <w:r w:rsidRPr="00D114BE">
        <w:rPr>
          <w:rFonts w:ascii="Times New Roman" w:hAnsi="Times New Roman"/>
          <w:sz w:val="24"/>
          <w:szCs w:val="24"/>
        </w:rPr>
        <w:t xml:space="preserve"> a patent owner, a copyright holder possesses the right to exclude others from using his property." It further noted that "[</w:t>
      </w:r>
      <w:proofErr w:type="gramStart"/>
      <w:r w:rsidRPr="00D114BE">
        <w:rPr>
          <w:rFonts w:ascii="Times New Roman" w:hAnsi="Times New Roman"/>
          <w:sz w:val="24"/>
          <w:szCs w:val="24"/>
        </w:rPr>
        <w:t>l]</w:t>
      </w:r>
      <w:proofErr w:type="spellStart"/>
      <w:r w:rsidRPr="00D114BE">
        <w:rPr>
          <w:rFonts w:ascii="Times New Roman" w:hAnsi="Times New Roman"/>
          <w:sz w:val="24"/>
          <w:szCs w:val="24"/>
        </w:rPr>
        <w:t>ike</w:t>
      </w:r>
      <w:proofErr w:type="spellEnd"/>
      <w:proofErr w:type="gramEnd"/>
      <w:r w:rsidRPr="00D114BE">
        <w:rPr>
          <w:rFonts w:ascii="Times New Roman" w:hAnsi="Times New Roman"/>
          <w:sz w:val="24"/>
          <w:szCs w:val="24"/>
        </w:rPr>
        <w:t xml:space="preserve"> the Patent Act, the Copyright Act provides that courts 'may' grant injunctive relief 'on such terms as it may deem reasonable to prevent or restrain infringement of copyright.'" </w:t>
      </w:r>
      <w:r w:rsidR="005100D5">
        <w:rPr>
          <w:rFonts w:ascii="Times New Roman" w:hAnsi="Times New Roman"/>
          <w:i/>
          <w:iCs/>
          <w:sz w:val="24"/>
          <w:szCs w:val="24"/>
        </w:rPr>
        <w:t xml:space="preserve"> </w:t>
      </w:r>
      <w:r w:rsidRPr="00D114BE">
        <w:rPr>
          <w:rFonts w:ascii="Times New Roman" w:hAnsi="Times New Roman"/>
          <w:sz w:val="24"/>
          <w:szCs w:val="24"/>
        </w:rPr>
        <w:t>B</w:t>
      </w:r>
      <w:r w:rsidRPr="00D114BE">
        <w:rPr>
          <w:rFonts w:ascii="Times New Roman" w:hAnsi="Times New Roman"/>
          <w:sz w:val="24"/>
          <w:szCs w:val="24"/>
        </w:rPr>
        <w:t>e</w:t>
      </w:r>
      <w:r w:rsidR="005100D5">
        <w:rPr>
          <w:rFonts w:ascii="Times New Roman" w:hAnsi="Times New Roman"/>
          <w:sz w:val="24"/>
          <w:szCs w:val="24"/>
        </w:rPr>
        <w:t xml:space="preserve">cause of these </w:t>
      </w:r>
      <w:r w:rsidRPr="00D114BE">
        <w:rPr>
          <w:rFonts w:ascii="Times New Roman" w:hAnsi="Times New Roman"/>
          <w:sz w:val="24"/>
          <w:szCs w:val="24"/>
        </w:rPr>
        <w:t>[*27] similarities, the Court emphasized that it "has consistently rejected invitations to r</w:t>
      </w:r>
      <w:r w:rsidRPr="00D114BE">
        <w:rPr>
          <w:rFonts w:ascii="Times New Roman" w:hAnsi="Times New Roman"/>
          <w:sz w:val="24"/>
          <w:szCs w:val="24"/>
        </w:rPr>
        <w:t>e</w:t>
      </w:r>
      <w:r w:rsidRPr="00D114BE">
        <w:rPr>
          <w:rFonts w:ascii="Times New Roman" w:hAnsi="Times New Roman"/>
          <w:sz w:val="24"/>
          <w:szCs w:val="24"/>
        </w:rPr>
        <w:t>place traditional equitable considerations with a rule that an injunction automatically follows a determination that a copyright has been infringed." Whatever the underlying issues and particular ci</w:t>
      </w:r>
      <w:r w:rsidRPr="00D114BE">
        <w:rPr>
          <w:rFonts w:ascii="Times New Roman" w:hAnsi="Times New Roman"/>
          <w:sz w:val="24"/>
          <w:szCs w:val="24"/>
        </w:rPr>
        <w:t>r</w:t>
      </w:r>
      <w:r w:rsidRPr="00D114BE">
        <w:rPr>
          <w:rFonts w:ascii="Times New Roman" w:hAnsi="Times New Roman"/>
          <w:sz w:val="24"/>
          <w:szCs w:val="24"/>
        </w:rPr>
        <w:t xml:space="preserve">cumstances of the cases cited by the Court in </w:t>
      </w:r>
      <w:r w:rsidRPr="00D114BE">
        <w:rPr>
          <w:rFonts w:ascii="Times New Roman" w:hAnsi="Times New Roman"/>
          <w:i/>
          <w:iCs/>
          <w:sz w:val="24"/>
          <w:szCs w:val="24"/>
        </w:rPr>
        <w:t>eBay</w:t>
      </w:r>
      <w:r w:rsidRPr="00D114BE">
        <w:rPr>
          <w:rFonts w:ascii="Times New Roman" w:hAnsi="Times New Roman"/>
          <w:sz w:val="24"/>
          <w:szCs w:val="24"/>
        </w:rPr>
        <w:t>, it seems clear that the Supreme Court did not view patent and copyright injunctions as different in kind, or as requiring different standards.</w:t>
      </w:r>
    </w:p>
    <w:p w:rsidR="009D4400" w:rsidRPr="00D114BE" w:rsidRDefault="00A859E4" w:rsidP="000C59F7">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Nor does </w:t>
      </w:r>
      <w:r w:rsidRPr="00D114BE">
        <w:rPr>
          <w:rFonts w:ascii="Times New Roman" w:hAnsi="Times New Roman"/>
          <w:i/>
          <w:iCs/>
          <w:sz w:val="24"/>
          <w:szCs w:val="24"/>
        </w:rPr>
        <w:t>eBay</w:t>
      </w:r>
      <w:r w:rsidRPr="00D114BE">
        <w:rPr>
          <w:rFonts w:ascii="Times New Roman" w:hAnsi="Times New Roman"/>
          <w:sz w:val="24"/>
          <w:szCs w:val="24"/>
        </w:rPr>
        <w:t xml:space="preserve">, as reinforced by the Supreme Court's very recent decision in </w:t>
      </w:r>
      <w:r w:rsidRPr="00D114BE">
        <w:rPr>
          <w:rFonts w:ascii="Times New Roman" w:hAnsi="Times New Roman"/>
          <w:i/>
          <w:iCs/>
          <w:sz w:val="24"/>
          <w:szCs w:val="24"/>
        </w:rPr>
        <w:t>Winter v. Natural Resources Defense Counsel</w:t>
      </w:r>
      <w:r w:rsidRPr="00D114BE">
        <w:rPr>
          <w:rFonts w:ascii="Times New Roman" w:hAnsi="Times New Roman"/>
          <w:sz w:val="24"/>
          <w:szCs w:val="24"/>
        </w:rPr>
        <w:t xml:space="preserve">, 129 S. Ct. 365, 172 L. Ed. 2d 249 (2008), permit an easier grant of a preliminary than of a permanent injunction. First, as mentioned above, one of the two cases </w:t>
      </w:r>
      <w:r w:rsidRPr="00D114BE">
        <w:rPr>
          <w:rFonts w:ascii="Times New Roman" w:hAnsi="Times New Roman"/>
          <w:i/>
          <w:iCs/>
          <w:sz w:val="24"/>
          <w:szCs w:val="24"/>
        </w:rPr>
        <w:t>eBay</w:t>
      </w:r>
      <w:r w:rsidRPr="00D114BE">
        <w:rPr>
          <w:rFonts w:ascii="Times New Roman" w:hAnsi="Times New Roman"/>
          <w:sz w:val="24"/>
          <w:szCs w:val="24"/>
        </w:rPr>
        <w:t xml:space="preserve"> relied upon in stating the traditional equitable test involved a preliminary injunction. </w:t>
      </w:r>
      <w:r w:rsidR="009673E9" w:rsidRPr="00D114BE">
        <w:rPr>
          <w:rFonts w:ascii="Times New Roman" w:hAnsi="Times New Roman"/>
          <w:sz w:val="24"/>
          <w:szCs w:val="24"/>
        </w:rPr>
        <w:t xml:space="preserve"> </w:t>
      </w:r>
      <w:r w:rsidRPr="00D114BE">
        <w:rPr>
          <w:rFonts w:ascii="Times New Roman" w:hAnsi="Times New Roman"/>
          <w:sz w:val="24"/>
          <w:szCs w:val="24"/>
        </w:rPr>
        <w:t xml:space="preserve">Second, in </w:t>
      </w:r>
      <w:proofErr w:type="gramStart"/>
      <w:r w:rsidRPr="00D114BE">
        <w:rPr>
          <w:rFonts w:ascii="Times New Roman" w:hAnsi="Times New Roman"/>
          <w:i/>
          <w:iCs/>
          <w:sz w:val="24"/>
          <w:szCs w:val="24"/>
        </w:rPr>
        <w:t>Winter</w:t>
      </w:r>
      <w:proofErr w:type="gramEnd"/>
      <w:r w:rsidRPr="00D114BE">
        <w:rPr>
          <w:rFonts w:ascii="Times New Roman" w:hAnsi="Times New Roman"/>
          <w:sz w:val="24"/>
          <w:szCs w:val="24"/>
        </w:rPr>
        <w:t xml:space="preserve">, the Supreme Court in fact applied </w:t>
      </w:r>
      <w:r w:rsidRPr="00D114BE">
        <w:rPr>
          <w:rFonts w:ascii="Times New Roman" w:hAnsi="Times New Roman"/>
          <w:i/>
          <w:iCs/>
          <w:sz w:val="24"/>
          <w:szCs w:val="24"/>
        </w:rPr>
        <w:t>eBay</w:t>
      </w:r>
      <w:r w:rsidRPr="00D114BE">
        <w:rPr>
          <w:rFonts w:ascii="Times New Roman" w:hAnsi="Times New Roman"/>
          <w:sz w:val="24"/>
          <w:szCs w:val="24"/>
        </w:rPr>
        <w:t xml:space="preserve"> in a case involving a preliminary injunction. R</w:t>
      </w:r>
      <w:r w:rsidRPr="00D114BE">
        <w:rPr>
          <w:rFonts w:ascii="Times New Roman" w:hAnsi="Times New Roman"/>
          <w:sz w:val="24"/>
          <w:szCs w:val="24"/>
        </w:rPr>
        <w:t>e</w:t>
      </w:r>
      <w:r w:rsidRPr="00D114BE">
        <w:rPr>
          <w:rFonts w:ascii="Times New Roman" w:hAnsi="Times New Roman"/>
          <w:sz w:val="24"/>
          <w:szCs w:val="24"/>
        </w:rPr>
        <w:t>versing the Ninth Circuit, which had preliminarily enjoined the Navy's use of sonar in training exe</w:t>
      </w:r>
      <w:r w:rsidRPr="00D114BE">
        <w:rPr>
          <w:rFonts w:ascii="Times New Roman" w:hAnsi="Times New Roman"/>
          <w:sz w:val="24"/>
          <w:szCs w:val="24"/>
        </w:rPr>
        <w:t>r</w:t>
      </w:r>
      <w:r w:rsidRPr="00D114BE">
        <w:rPr>
          <w:rFonts w:ascii="Times New Roman" w:hAnsi="Times New Roman"/>
          <w:sz w:val="24"/>
          <w:szCs w:val="24"/>
        </w:rPr>
        <w:t>cises based on a "strong" likelihood of success on the merits and a "possibility" of irreparable harm, the Court stated: "Issuing a preliminary injunction based only on a possibility of irreparable harm is inconsistent with our characterization of injunctive relief as an extraordinary remedy that may only be awarded upon a clear showing that the plaintiff is entitled to such relief." And using broad, u</w:t>
      </w:r>
      <w:r w:rsidRPr="00D114BE">
        <w:rPr>
          <w:rFonts w:ascii="Times New Roman" w:hAnsi="Times New Roman"/>
          <w:sz w:val="24"/>
          <w:szCs w:val="24"/>
        </w:rPr>
        <w:t>n</w:t>
      </w:r>
      <w:r w:rsidRPr="00D114BE">
        <w:rPr>
          <w:rFonts w:ascii="Times New Roman" w:hAnsi="Times New Roman"/>
          <w:sz w:val="24"/>
          <w:szCs w:val="24"/>
        </w:rPr>
        <w:t xml:space="preserve">qualified language, the Court discussed the preliminary injunction standard as follows: </w:t>
      </w:r>
    </w:p>
    <w:p w:rsidR="009D4400" w:rsidRPr="00D114BE" w:rsidRDefault="00A859E4" w:rsidP="000C59F7">
      <w:pPr>
        <w:widowControl/>
        <w:spacing w:before="120"/>
        <w:ind w:left="600" w:right="600"/>
        <w:jc w:val="both"/>
        <w:rPr>
          <w:rFonts w:ascii="Times New Roman" w:hAnsi="Times New Roman"/>
          <w:sz w:val="24"/>
          <w:szCs w:val="24"/>
        </w:rPr>
      </w:pPr>
      <w:r w:rsidRPr="00D114BE">
        <w:rPr>
          <w:rFonts w:ascii="Times New Roman" w:hAnsi="Times New Roman"/>
          <w:sz w:val="24"/>
          <w:szCs w:val="24"/>
        </w:rPr>
        <w:t xml:space="preserve">   A preliminary injunction is an extraordinary remedy never awarded as of right. In each case, courts must balance the competing claims of injury and must consider the e</w:t>
      </w:r>
      <w:r w:rsidRPr="00D114BE">
        <w:rPr>
          <w:rFonts w:ascii="Times New Roman" w:hAnsi="Times New Roman"/>
          <w:sz w:val="24"/>
          <w:szCs w:val="24"/>
        </w:rPr>
        <w:t>f</w:t>
      </w:r>
      <w:r w:rsidRPr="00D114BE">
        <w:rPr>
          <w:rFonts w:ascii="Times New Roman" w:hAnsi="Times New Roman"/>
          <w:sz w:val="24"/>
          <w:szCs w:val="24"/>
        </w:rPr>
        <w:t>fect on each party of the granting or withholding of the requested relief. In exercising their sound discretion, courts of equity should pay particular regard for the public co</w:t>
      </w:r>
      <w:r w:rsidRPr="00D114BE">
        <w:rPr>
          <w:rFonts w:ascii="Times New Roman" w:hAnsi="Times New Roman"/>
          <w:sz w:val="24"/>
          <w:szCs w:val="24"/>
        </w:rPr>
        <w:t>n</w:t>
      </w:r>
      <w:r w:rsidRPr="00D114BE">
        <w:rPr>
          <w:rFonts w:ascii="Times New Roman" w:hAnsi="Times New Roman"/>
          <w:sz w:val="24"/>
          <w:szCs w:val="24"/>
        </w:rPr>
        <w:t>sequences in employing the extraordinary remedy  [*29] of injunction.</w:t>
      </w:r>
    </w:p>
    <w:p w:rsidR="009D4400" w:rsidRPr="00D114BE" w:rsidRDefault="009D4400" w:rsidP="000C59F7">
      <w:pPr>
        <w:widowControl/>
        <w:spacing w:before="120"/>
        <w:jc w:val="both"/>
        <w:rPr>
          <w:rFonts w:ascii="Times New Roman" w:hAnsi="Times New Roman"/>
          <w:sz w:val="24"/>
          <w:szCs w:val="24"/>
        </w:rPr>
      </w:pPr>
    </w:p>
    <w:p w:rsidR="009D4400" w:rsidRPr="00D114BE" w:rsidRDefault="00A859E4" w:rsidP="00F57083">
      <w:pPr>
        <w:widowControl/>
        <w:spacing w:before="120"/>
        <w:jc w:val="center"/>
        <w:rPr>
          <w:rFonts w:ascii="Times New Roman" w:hAnsi="Times New Roman"/>
          <w:sz w:val="24"/>
          <w:szCs w:val="24"/>
        </w:rPr>
      </w:pPr>
      <w:r w:rsidRPr="00D114BE">
        <w:rPr>
          <w:rFonts w:ascii="Times New Roman" w:hAnsi="Times New Roman"/>
          <w:b/>
          <w:bCs/>
          <w:sz w:val="24"/>
          <w:szCs w:val="24"/>
        </w:rPr>
        <w:t>III</w:t>
      </w:r>
      <w:r w:rsidRPr="00D114BE">
        <w:rPr>
          <w:rFonts w:ascii="Times New Roman" w:hAnsi="Times New Roman"/>
          <w:sz w:val="24"/>
          <w:szCs w:val="24"/>
        </w:rPr>
        <w:t>.</w:t>
      </w:r>
    </w:p>
    <w:p w:rsidR="00F57083" w:rsidRPr="00D114BE" w:rsidRDefault="00F57083" w:rsidP="00F57083">
      <w:pPr>
        <w:widowControl/>
        <w:spacing w:before="120"/>
        <w:jc w:val="center"/>
        <w:rPr>
          <w:rFonts w:ascii="Times New Roman" w:hAnsi="Times New Roman"/>
          <w:sz w:val="24"/>
          <w:szCs w:val="24"/>
        </w:rPr>
      </w:pPr>
      <w:r>
        <w:rPr>
          <w:rFonts w:ascii="Times New Roman" w:hAnsi="Times New Roman"/>
          <w:sz w:val="24"/>
          <w:szCs w:val="24"/>
        </w:rPr>
        <w:t>A</w:t>
      </w:r>
      <w:r w:rsidRPr="00D114BE">
        <w:rPr>
          <w:rFonts w:ascii="Times New Roman" w:hAnsi="Times New Roman"/>
          <w:sz w:val="24"/>
          <w:szCs w:val="24"/>
        </w:rPr>
        <w:t>.</w:t>
      </w:r>
    </w:p>
    <w:p w:rsidR="009673E9"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This Court's </w:t>
      </w:r>
      <w:r w:rsidRPr="00D114BE">
        <w:rPr>
          <w:rFonts w:ascii="Times New Roman" w:hAnsi="Times New Roman"/>
          <w:i/>
          <w:iCs/>
          <w:sz w:val="24"/>
          <w:szCs w:val="24"/>
        </w:rPr>
        <w:t>pre-eBay</w:t>
      </w:r>
      <w:r w:rsidRPr="00D114BE">
        <w:rPr>
          <w:rFonts w:ascii="Times New Roman" w:hAnsi="Times New Roman"/>
          <w:sz w:val="24"/>
          <w:szCs w:val="24"/>
        </w:rPr>
        <w:t xml:space="preserve"> standard for when preliminary injunctions may issue in copyright cases is inconsistent with the principles of equity set forth in </w:t>
      </w:r>
      <w:r w:rsidRPr="00D114BE">
        <w:rPr>
          <w:rFonts w:ascii="Times New Roman" w:hAnsi="Times New Roman"/>
          <w:i/>
          <w:iCs/>
          <w:sz w:val="24"/>
          <w:szCs w:val="24"/>
        </w:rPr>
        <w:t>eBay</w:t>
      </w:r>
      <w:r w:rsidRPr="00D114BE">
        <w:rPr>
          <w:rFonts w:ascii="Times New Roman" w:hAnsi="Times New Roman"/>
          <w:sz w:val="24"/>
          <w:szCs w:val="24"/>
        </w:rPr>
        <w:t xml:space="preserve">. The Supreme Court's decision in </w:t>
      </w:r>
      <w:r w:rsidRPr="00D114BE">
        <w:rPr>
          <w:rFonts w:ascii="Times New Roman" w:hAnsi="Times New Roman"/>
          <w:i/>
          <w:iCs/>
          <w:sz w:val="24"/>
          <w:szCs w:val="24"/>
        </w:rPr>
        <w:t>Winter</w:t>
      </w:r>
      <w:r w:rsidRPr="00D114BE">
        <w:rPr>
          <w:rFonts w:ascii="Times New Roman" w:hAnsi="Times New Roman"/>
          <w:sz w:val="24"/>
          <w:szCs w:val="24"/>
        </w:rPr>
        <w:t xml:space="preserve"> tells us that, at minimum, we must consider whether "irreparable injury is </w:t>
      </w:r>
      <w:r w:rsidRPr="00D114BE">
        <w:rPr>
          <w:rFonts w:ascii="Times New Roman" w:hAnsi="Times New Roman"/>
          <w:i/>
          <w:iCs/>
          <w:sz w:val="24"/>
          <w:szCs w:val="24"/>
        </w:rPr>
        <w:t>likely</w:t>
      </w:r>
      <w:r w:rsidRPr="00D114BE">
        <w:rPr>
          <w:rFonts w:ascii="Times New Roman" w:hAnsi="Times New Roman"/>
          <w:sz w:val="24"/>
          <w:szCs w:val="24"/>
        </w:rPr>
        <w:t xml:space="preserve"> in the absence of an injunction," we must "'balance the competing claims of injury,'" and we must "'pay particular regard for the public consequences in employing the extraordinary remedy of injunction.'"</w:t>
      </w:r>
      <w:r w:rsidR="000C59F7" w:rsidRPr="00D114BE">
        <w:rPr>
          <w:rStyle w:val="FootnoteReference"/>
          <w:rFonts w:ascii="Times New Roman" w:hAnsi="Times New Roman"/>
          <w:sz w:val="24"/>
          <w:szCs w:val="24"/>
        </w:rPr>
        <w:footnoteReference w:id="8"/>
      </w:r>
      <w:r w:rsidRPr="00D114BE">
        <w:rPr>
          <w:rFonts w:ascii="Times New Roman" w:hAnsi="Times New Roman"/>
          <w:sz w:val="24"/>
          <w:szCs w:val="24"/>
        </w:rPr>
        <w:t xml:space="preserve"> </w:t>
      </w:r>
      <w:r w:rsidR="009673E9" w:rsidRPr="00D114BE">
        <w:rPr>
          <w:rFonts w:ascii="Times New Roman" w:hAnsi="Times New Roman"/>
          <w:sz w:val="24"/>
          <w:szCs w:val="24"/>
        </w:rPr>
        <w:t xml:space="preserve"> </w:t>
      </w:r>
      <w:r w:rsidRPr="00D114BE">
        <w:rPr>
          <w:rFonts w:ascii="Times New Roman" w:hAnsi="Times New Roman"/>
          <w:sz w:val="24"/>
          <w:szCs w:val="24"/>
        </w:rPr>
        <w:t xml:space="preserve">Therefore, in light of </w:t>
      </w:r>
      <w:proofErr w:type="gramStart"/>
      <w:r w:rsidRPr="00D114BE">
        <w:rPr>
          <w:rFonts w:ascii="Times New Roman" w:hAnsi="Times New Roman"/>
          <w:i/>
          <w:iCs/>
          <w:sz w:val="24"/>
          <w:szCs w:val="24"/>
        </w:rPr>
        <w:t>Winter</w:t>
      </w:r>
      <w:proofErr w:type="gramEnd"/>
      <w:r w:rsidRPr="00D114BE">
        <w:rPr>
          <w:rFonts w:ascii="Times New Roman" w:hAnsi="Times New Roman"/>
          <w:sz w:val="24"/>
          <w:szCs w:val="24"/>
        </w:rPr>
        <w:t xml:space="preserve"> and </w:t>
      </w:r>
      <w:r w:rsidRPr="00D114BE">
        <w:rPr>
          <w:rFonts w:ascii="Times New Roman" w:hAnsi="Times New Roman"/>
          <w:i/>
          <w:iCs/>
          <w:sz w:val="24"/>
          <w:szCs w:val="24"/>
        </w:rPr>
        <w:t>eBay</w:t>
      </w:r>
      <w:r w:rsidRPr="00D114BE">
        <w:rPr>
          <w:rFonts w:ascii="Times New Roman" w:hAnsi="Times New Roman"/>
          <w:sz w:val="24"/>
          <w:szCs w:val="24"/>
        </w:rPr>
        <w:t>, we hold that a district court must undertake the following inquiry in d</w:t>
      </w:r>
      <w:r w:rsidRPr="00D114BE">
        <w:rPr>
          <w:rFonts w:ascii="Times New Roman" w:hAnsi="Times New Roman"/>
          <w:sz w:val="24"/>
          <w:szCs w:val="24"/>
        </w:rPr>
        <w:t>e</w:t>
      </w:r>
      <w:r w:rsidRPr="00D114BE">
        <w:rPr>
          <w:rFonts w:ascii="Times New Roman" w:hAnsi="Times New Roman"/>
          <w:sz w:val="24"/>
          <w:szCs w:val="24"/>
        </w:rPr>
        <w:t>termining whether to grant a plaintiff's motion for a preliminary injunction in a copyright case. First, as in most other kinds of cases in our Circuit, a court may issue a preliminary injunction in a copyright case only if the plaintiff has demonstrated "either (a) a likelihood of success on the meri</w:t>
      </w:r>
      <w:r w:rsidR="000C59F7">
        <w:rPr>
          <w:rFonts w:ascii="Times New Roman" w:hAnsi="Times New Roman"/>
          <w:sz w:val="24"/>
          <w:szCs w:val="24"/>
        </w:rPr>
        <w:t xml:space="preserve">ts or (b) sufficiently serious </w:t>
      </w:r>
      <w:r w:rsidRPr="00D114BE">
        <w:rPr>
          <w:rFonts w:ascii="Times New Roman" w:hAnsi="Times New Roman"/>
          <w:sz w:val="24"/>
          <w:szCs w:val="24"/>
        </w:rPr>
        <w:t>[*30] questions going to the merits to make them a fair ground for litig</w:t>
      </w:r>
      <w:r w:rsidRPr="00D114BE">
        <w:rPr>
          <w:rFonts w:ascii="Times New Roman" w:hAnsi="Times New Roman"/>
          <w:sz w:val="24"/>
          <w:szCs w:val="24"/>
        </w:rPr>
        <w:t>a</w:t>
      </w:r>
      <w:r w:rsidRPr="00D114BE">
        <w:rPr>
          <w:rFonts w:ascii="Times New Roman" w:hAnsi="Times New Roman"/>
          <w:sz w:val="24"/>
          <w:szCs w:val="24"/>
        </w:rPr>
        <w:t>tion and a balance of hardships tipping decidedly in the [plaintiff]'s favor." Second, the court may issue the injunction only if the plaintiff has demonstrated "that he is likely to suffer irreparable i</w:t>
      </w:r>
      <w:r w:rsidRPr="00D114BE">
        <w:rPr>
          <w:rFonts w:ascii="Times New Roman" w:hAnsi="Times New Roman"/>
          <w:sz w:val="24"/>
          <w:szCs w:val="24"/>
        </w:rPr>
        <w:t>n</w:t>
      </w:r>
      <w:r w:rsidRPr="00D114BE">
        <w:rPr>
          <w:rFonts w:ascii="Times New Roman" w:hAnsi="Times New Roman"/>
          <w:sz w:val="24"/>
          <w:szCs w:val="24"/>
        </w:rPr>
        <w:t xml:space="preserve">jury in the absence of an injunction." </w:t>
      </w:r>
      <w:r w:rsidR="009673E9" w:rsidRPr="00D114BE">
        <w:rPr>
          <w:rFonts w:ascii="Times New Roman" w:hAnsi="Times New Roman"/>
          <w:sz w:val="24"/>
          <w:szCs w:val="24"/>
        </w:rPr>
        <w:t xml:space="preserve"> </w:t>
      </w:r>
      <w:r w:rsidRPr="00D114BE">
        <w:rPr>
          <w:rFonts w:ascii="Times New Roman" w:hAnsi="Times New Roman"/>
          <w:sz w:val="24"/>
          <w:szCs w:val="24"/>
        </w:rPr>
        <w:t>The court must not adopt a "categorical" or "general" rule or presume that the plaintiff will suffer irreparable harm (unless such a "departure from the long trad</w:t>
      </w:r>
      <w:r w:rsidRPr="00D114BE">
        <w:rPr>
          <w:rFonts w:ascii="Times New Roman" w:hAnsi="Times New Roman"/>
          <w:sz w:val="24"/>
          <w:szCs w:val="24"/>
        </w:rPr>
        <w:t>i</w:t>
      </w:r>
      <w:r w:rsidRPr="00D114BE">
        <w:rPr>
          <w:rFonts w:ascii="Times New Roman" w:hAnsi="Times New Roman"/>
          <w:sz w:val="24"/>
          <w:szCs w:val="24"/>
        </w:rPr>
        <w:t xml:space="preserve">tion of equity practice" was intended by Congress). </w:t>
      </w:r>
      <w:r w:rsidR="009673E9" w:rsidRPr="00D114BE">
        <w:rPr>
          <w:rFonts w:ascii="Times New Roman" w:hAnsi="Times New Roman"/>
          <w:sz w:val="24"/>
          <w:szCs w:val="24"/>
        </w:rPr>
        <w:t xml:space="preserve"> </w:t>
      </w:r>
      <w:r w:rsidRPr="00D114BE">
        <w:rPr>
          <w:rFonts w:ascii="Times New Roman" w:hAnsi="Times New Roman"/>
          <w:sz w:val="24"/>
          <w:szCs w:val="24"/>
        </w:rPr>
        <w:t>Instead, the court must actually consider the injury the plaintiff will suffer if he or she loses on the preliminary injunction but ultimately prevails on the merits, paying particular attention to whether the "remedies available at law, such as mon</w:t>
      </w:r>
      <w:r w:rsidRPr="00D114BE">
        <w:rPr>
          <w:rFonts w:ascii="Times New Roman" w:hAnsi="Times New Roman"/>
          <w:sz w:val="24"/>
          <w:szCs w:val="24"/>
        </w:rPr>
        <w:t>e</w:t>
      </w:r>
      <w:r w:rsidRPr="00D114BE">
        <w:rPr>
          <w:rFonts w:ascii="Times New Roman" w:hAnsi="Times New Roman"/>
          <w:sz w:val="24"/>
          <w:szCs w:val="24"/>
        </w:rPr>
        <w:t>tary damages, are inadequate to compensate for that injury." Third, a court must consider the ba</w:t>
      </w:r>
      <w:r w:rsidRPr="00D114BE">
        <w:rPr>
          <w:rFonts w:ascii="Times New Roman" w:hAnsi="Times New Roman"/>
          <w:sz w:val="24"/>
          <w:szCs w:val="24"/>
        </w:rPr>
        <w:t>l</w:t>
      </w:r>
      <w:r w:rsidRPr="00D114BE">
        <w:rPr>
          <w:rFonts w:ascii="Times New Roman" w:hAnsi="Times New Roman"/>
          <w:sz w:val="24"/>
          <w:szCs w:val="24"/>
        </w:rPr>
        <w:t xml:space="preserve">ance of hardships between the plaintiff and defendant and issue the injunction only if the balance of hardships tips in the plaintiff's favor. Finally, the court must ensure that the "public interest would not be disserved" by the issuance of a preliminary injunction. </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first consideration in the preliminary injunction analysis is the probability of success on the merits. In gauging this, we emphasize that courts should be particularly cognizant of the difficulty of predicting the merits of a copyright claim at a preliminary injunction hearing. This difficulty is compounded significantly when a defendant raises a colorable fair use defense. "Whether [a] taking  [*33] [] will pass the fair use test is difficult to predict. It depends on widely varying perceptions held by different judges." Pierre N. </w:t>
      </w:r>
      <w:proofErr w:type="spellStart"/>
      <w:r w:rsidRPr="00D114BE">
        <w:rPr>
          <w:rFonts w:ascii="Times New Roman" w:hAnsi="Times New Roman"/>
          <w:sz w:val="24"/>
          <w:szCs w:val="24"/>
        </w:rPr>
        <w:t>Leval</w:t>
      </w:r>
      <w:proofErr w:type="spellEnd"/>
      <w:r w:rsidRPr="00D114BE">
        <w:rPr>
          <w:rFonts w:ascii="Times New Roman" w:hAnsi="Times New Roman"/>
          <w:sz w:val="24"/>
          <w:szCs w:val="24"/>
        </w:rPr>
        <w:t xml:space="preserve">, </w:t>
      </w:r>
      <w:r w:rsidRPr="00D114BE">
        <w:rPr>
          <w:rFonts w:ascii="Times New Roman" w:hAnsi="Times New Roman"/>
          <w:i/>
          <w:iCs/>
          <w:sz w:val="24"/>
          <w:szCs w:val="24"/>
        </w:rPr>
        <w:t>Toward a Fair Use Standard</w:t>
      </w:r>
      <w:r w:rsidRPr="00D114BE">
        <w:rPr>
          <w:rFonts w:ascii="Times New Roman" w:hAnsi="Times New Roman"/>
          <w:sz w:val="24"/>
          <w:szCs w:val="24"/>
        </w:rPr>
        <w:t xml:space="preserve">, 103 </w:t>
      </w:r>
      <w:proofErr w:type="spellStart"/>
      <w:r w:rsidRPr="00D114BE">
        <w:rPr>
          <w:rFonts w:ascii="Times New Roman" w:hAnsi="Times New Roman"/>
          <w:sz w:val="24"/>
          <w:szCs w:val="24"/>
        </w:rPr>
        <w:t>Harv</w:t>
      </w:r>
      <w:proofErr w:type="spellEnd"/>
      <w:r w:rsidRPr="00D114BE">
        <w:rPr>
          <w:rFonts w:ascii="Times New Roman" w:hAnsi="Times New Roman"/>
          <w:sz w:val="24"/>
          <w:szCs w:val="24"/>
        </w:rPr>
        <w:t>. L. Rev. 1105, 1132 (1990).</w:t>
      </w:r>
    </w:p>
    <w:p w:rsidR="009D4400" w:rsidRPr="00D114BE" w:rsidRDefault="00A859E4" w:rsidP="000C59F7">
      <w:pPr>
        <w:widowControl/>
        <w:spacing w:before="120"/>
        <w:ind w:firstLine="360"/>
        <w:jc w:val="center"/>
        <w:rPr>
          <w:rFonts w:ascii="Times New Roman" w:hAnsi="Times New Roman"/>
          <w:sz w:val="24"/>
          <w:szCs w:val="24"/>
        </w:rPr>
      </w:pPr>
      <w:r w:rsidRPr="00D114BE">
        <w:rPr>
          <w:rFonts w:ascii="Times New Roman" w:hAnsi="Times New Roman"/>
          <w:sz w:val="24"/>
          <w:szCs w:val="24"/>
        </w:rPr>
        <w:t>B.</w:t>
      </w:r>
    </w:p>
    <w:p w:rsidR="009D4400" w:rsidRPr="00D114BE" w:rsidRDefault="00A859E4" w:rsidP="00F57083">
      <w:pPr>
        <w:widowControl/>
        <w:spacing w:before="120"/>
        <w:ind w:firstLine="360"/>
        <w:jc w:val="both"/>
        <w:rPr>
          <w:rFonts w:ascii="Times New Roman" w:hAnsi="Times New Roman"/>
          <w:sz w:val="24"/>
          <w:szCs w:val="24"/>
        </w:rPr>
      </w:pPr>
      <w:r w:rsidRPr="00D114BE">
        <w:rPr>
          <w:rFonts w:ascii="Times New Roman" w:hAnsi="Times New Roman"/>
          <w:sz w:val="24"/>
          <w:szCs w:val="24"/>
        </w:rPr>
        <w:t>Next, the court must consider whether the plaintiff will suffer irreparable harm in the absence of a preliminary injunction, and the court must assess the balance of hardships between the plaintiff and defendant. Those two items, both of which consider the harm to the parties, are related. The relevant harm is the harm that (a) occurs to the parties' legal</w:t>
      </w:r>
      <w:r w:rsidR="00B914F8" w:rsidRPr="00D114BE">
        <w:rPr>
          <w:rStyle w:val="FootnoteReference"/>
          <w:rFonts w:ascii="Times New Roman" w:hAnsi="Times New Roman"/>
          <w:sz w:val="24"/>
          <w:szCs w:val="24"/>
        </w:rPr>
        <w:footnoteReference w:id="9"/>
      </w:r>
      <w:r w:rsidRPr="00D114BE">
        <w:rPr>
          <w:rFonts w:ascii="Times New Roman" w:hAnsi="Times New Roman"/>
          <w:sz w:val="24"/>
          <w:szCs w:val="24"/>
        </w:rPr>
        <w:t xml:space="preserve"> interests and (b) cannot be remedied after a final adjudication, whether by damages or a permanent injunction. </w:t>
      </w:r>
      <w:r w:rsidR="00F57083">
        <w:rPr>
          <w:rFonts w:ascii="Times New Roman" w:hAnsi="Times New Roman"/>
          <w:sz w:val="24"/>
          <w:szCs w:val="24"/>
        </w:rPr>
        <w:t xml:space="preserve"> </w:t>
      </w:r>
      <w:r w:rsidRPr="00D114BE">
        <w:rPr>
          <w:rFonts w:ascii="Times New Roman" w:hAnsi="Times New Roman"/>
          <w:sz w:val="24"/>
          <w:szCs w:val="24"/>
        </w:rPr>
        <w:t xml:space="preserve">The plaintiff's interest is, principally, a property interest in the copyrighted material. </w:t>
      </w:r>
      <w:r w:rsidRPr="00D114BE">
        <w:rPr>
          <w:rFonts w:ascii="Times New Roman" w:hAnsi="Times New Roman"/>
          <w:i/>
          <w:iCs/>
          <w:sz w:val="24"/>
          <w:szCs w:val="24"/>
        </w:rPr>
        <w:t>See Wheaton v. Peters</w:t>
      </w:r>
      <w:r w:rsidRPr="00D114BE">
        <w:rPr>
          <w:rFonts w:ascii="Times New Roman" w:hAnsi="Times New Roman"/>
          <w:sz w:val="24"/>
          <w:szCs w:val="24"/>
        </w:rPr>
        <w:t xml:space="preserve">, 33 U.S. (8 Pet.) 591, 661 (1834). </w:t>
      </w:r>
      <w:r w:rsidR="00F57083">
        <w:rPr>
          <w:rFonts w:ascii="Times New Roman" w:hAnsi="Times New Roman"/>
          <w:sz w:val="24"/>
          <w:szCs w:val="24"/>
        </w:rPr>
        <w:t xml:space="preserve"> </w:t>
      </w:r>
      <w:r w:rsidRPr="00D114BE">
        <w:rPr>
          <w:rFonts w:ascii="Times New Roman" w:hAnsi="Times New Roman"/>
          <w:sz w:val="24"/>
          <w:szCs w:val="24"/>
        </w:rPr>
        <w:t xml:space="preserve">But as the Supreme Court has suggested, a copyright holder might also have a First Amendment interest in </w:t>
      </w:r>
      <w:r w:rsidRPr="00D114BE">
        <w:rPr>
          <w:rFonts w:ascii="Times New Roman" w:hAnsi="Times New Roman"/>
          <w:i/>
          <w:iCs/>
          <w:sz w:val="24"/>
          <w:szCs w:val="24"/>
        </w:rPr>
        <w:t>not</w:t>
      </w:r>
      <w:r w:rsidRPr="00D114BE">
        <w:rPr>
          <w:rFonts w:ascii="Times New Roman" w:hAnsi="Times New Roman"/>
          <w:sz w:val="24"/>
          <w:szCs w:val="24"/>
        </w:rPr>
        <w:t xml:space="preserve"> speaking. </w:t>
      </w:r>
      <w:r w:rsidRPr="00D114BE">
        <w:rPr>
          <w:rFonts w:ascii="Times New Roman" w:hAnsi="Times New Roman"/>
          <w:i/>
          <w:iCs/>
          <w:sz w:val="24"/>
          <w:szCs w:val="24"/>
        </w:rPr>
        <w:t>See Harper &amp; Row Publishers, Inc. v. Nation Enters</w:t>
      </w:r>
      <w:proofErr w:type="gramStart"/>
      <w:r w:rsidRPr="00D114BE">
        <w:rPr>
          <w:rFonts w:ascii="Times New Roman" w:hAnsi="Times New Roman"/>
          <w:sz w:val="24"/>
          <w:szCs w:val="24"/>
        </w:rPr>
        <w:t>.,</w:t>
      </w:r>
      <w:proofErr w:type="gramEnd"/>
      <w:r w:rsidRPr="00D114BE">
        <w:rPr>
          <w:rFonts w:ascii="Times New Roman" w:hAnsi="Times New Roman"/>
          <w:sz w:val="24"/>
          <w:szCs w:val="24"/>
        </w:rPr>
        <w:t xml:space="preserve"> 471 U.S. 539, 559 (1985). </w:t>
      </w:r>
      <w:r w:rsidR="00F57083">
        <w:rPr>
          <w:rFonts w:ascii="Times New Roman" w:hAnsi="Times New Roman"/>
          <w:sz w:val="24"/>
          <w:szCs w:val="24"/>
        </w:rPr>
        <w:t xml:space="preserve"> </w:t>
      </w:r>
      <w:r w:rsidRPr="00D114BE">
        <w:rPr>
          <w:rFonts w:ascii="Times New Roman" w:hAnsi="Times New Roman"/>
          <w:sz w:val="24"/>
          <w:szCs w:val="24"/>
        </w:rPr>
        <w:t>The defendant to a copyright suit likewise has a property [*34] interest in his or her work to the extent that work does not infringe the plaintiff's copyright. And a defendant also has a core First Amendment interest in the freedom to express him- or herself, so long as that expression does not infringe the plaintiff's copyright.</w:t>
      </w:r>
    </w:p>
    <w:p w:rsidR="009D4400" w:rsidRPr="00D114BE" w:rsidRDefault="00A859E4" w:rsidP="00F57083">
      <w:pPr>
        <w:widowControl/>
        <w:spacing w:before="120"/>
        <w:ind w:firstLine="360"/>
        <w:jc w:val="both"/>
        <w:rPr>
          <w:rFonts w:ascii="Times New Roman" w:hAnsi="Times New Roman"/>
          <w:sz w:val="24"/>
          <w:szCs w:val="24"/>
        </w:rPr>
      </w:pPr>
      <w:r w:rsidRPr="00D114BE">
        <w:rPr>
          <w:rFonts w:ascii="Times New Roman" w:hAnsi="Times New Roman"/>
          <w:sz w:val="24"/>
          <w:szCs w:val="24"/>
        </w:rPr>
        <w:t>But the above-identified interests are relevant only to the extent that they are not remediable a</w:t>
      </w:r>
      <w:r w:rsidRPr="00D114BE">
        <w:rPr>
          <w:rFonts w:ascii="Times New Roman" w:hAnsi="Times New Roman"/>
          <w:sz w:val="24"/>
          <w:szCs w:val="24"/>
        </w:rPr>
        <w:t>f</w:t>
      </w:r>
      <w:r w:rsidRPr="00D114BE">
        <w:rPr>
          <w:rFonts w:ascii="Times New Roman" w:hAnsi="Times New Roman"/>
          <w:sz w:val="24"/>
          <w:szCs w:val="24"/>
        </w:rPr>
        <w:t>ter a final adjudication. Harm might be irremediable, or irreparable, for many reasons, including that a loss is difficult to replace or difficult to measure, or that it is a loss that one should not be e</w:t>
      </w:r>
      <w:r w:rsidRPr="00D114BE">
        <w:rPr>
          <w:rFonts w:ascii="Times New Roman" w:hAnsi="Times New Roman"/>
          <w:sz w:val="24"/>
          <w:szCs w:val="24"/>
        </w:rPr>
        <w:t>x</w:t>
      </w:r>
      <w:r w:rsidRPr="00D114BE">
        <w:rPr>
          <w:rFonts w:ascii="Times New Roman" w:hAnsi="Times New Roman"/>
          <w:sz w:val="24"/>
          <w:szCs w:val="24"/>
        </w:rPr>
        <w:t>pected to suffer. In the context of copyright infringement cases, the harm to the plaintiff's property interest has often been characterized as irreparable in light of possible market confusion.  [*35] And courts have tended to issue injunctions in this context because "to prove the loss of sales due to i</w:t>
      </w:r>
      <w:r w:rsidRPr="00D114BE">
        <w:rPr>
          <w:rFonts w:ascii="Times New Roman" w:hAnsi="Times New Roman"/>
          <w:sz w:val="24"/>
          <w:szCs w:val="24"/>
        </w:rPr>
        <w:t>n</w:t>
      </w:r>
      <w:r w:rsidRPr="00D114BE">
        <w:rPr>
          <w:rFonts w:ascii="Times New Roman" w:hAnsi="Times New Roman"/>
          <w:sz w:val="24"/>
          <w:szCs w:val="24"/>
        </w:rPr>
        <w:t>fringement is . . . notoriously difficult." Additionally, "[</w:t>
      </w:r>
      <w:proofErr w:type="gramStart"/>
      <w:r w:rsidRPr="00D114BE">
        <w:rPr>
          <w:rFonts w:ascii="Times New Roman" w:hAnsi="Times New Roman"/>
          <w:sz w:val="24"/>
          <w:szCs w:val="24"/>
        </w:rPr>
        <w:t>t]he</w:t>
      </w:r>
      <w:proofErr w:type="gramEnd"/>
      <w:r w:rsidRPr="00D114BE">
        <w:rPr>
          <w:rFonts w:ascii="Times New Roman" w:hAnsi="Times New Roman"/>
          <w:sz w:val="24"/>
          <w:szCs w:val="24"/>
        </w:rPr>
        <w:t xml:space="preserve"> loss of First Amendment freedoms," and hence infringement of the right </w:t>
      </w:r>
      <w:r w:rsidRPr="00D114BE">
        <w:rPr>
          <w:rFonts w:ascii="Times New Roman" w:hAnsi="Times New Roman"/>
          <w:i/>
          <w:iCs/>
          <w:sz w:val="24"/>
          <w:szCs w:val="24"/>
        </w:rPr>
        <w:t>not</w:t>
      </w:r>
      <w:r w:rsidRPr="00D114BE">
        <w:rPr>
          <w:rFonts w:ascii="Times New Roman" w:hAnsi="Times New Roman"/>
          <w:sz w:val="24"/>
          <w:szCs w:val="24"/>
        </w:rPr>
        <w:t xml:space="preserve"> to speak, "for even minimal periods of time, unquestionably constitutes irreparable injury."</w:t>
      </w:r>
      <w:r w:rsidR="00B914F8" w:rsidRPr="00D114BE">
        <w:rPr>
          <w:rStyle w:val="FootnoteReference"/>
          <w:rFonts w:ascii="Times New Roman" w:hAnsi="Times New Roman"/>
          <w:sz w:val="24"/>
          <w:szCs w:val="24"/>
        </w:rPr>
        <w:footnoteReference w:id="10"/>
      </w:r>
      <w:r w:rsidRPr="00D114BE">
        <w:rPr>
          <w:rFonts w:ascii="Times New Roman" w:hAnsi="Times New Roman"/>
          <w:sz w:val="24"/>
          <w:szCs w:val="24"/>
        </w:rPr>
        <w:t xml:space="preserve"> </w:t>
      </w:r>
    </w:p>
    <w:p w:rsidR="009D4400" w:rsidRPr="00D114BE" w:rsidRDefault="00A859E4" w:rsidP="00F57083">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After </w:t>
      </w:r>
      <w:r w:rsidRPr="00D114BE">
        <w:rPr>
          <w:rFonts w:ascii="Times New Roman" w:hAnsi="Times New Roman"/>
          <w:i/>
          <w:iCs/>
          <w:sz w:val="24"/>
          <w:szCs w:val="24"/>
        </w:rPr>
        <w:t>eBay</w:t>
      </w:r>
      <w:r w:rsidRPr="00D114BE">
        <w:rPr>
          <w:rFonts w:ascii="Times New Roman" w:hAnsi="Times New Roman"/>
          <w:sz w:val="24"/>
          <w:szCs w:val="24"/>
        </w:rPr>
        <w:t xml:space="preserve">, however, courts must not simply presume irreparable harm. </w:t>
      </w:r>
      <w:r w:rsidR="00B914F8" w:rsidRPr="00D114BE">
        <w:rPr>
          <w:rFonts w:ascii="Times New Roman" w:hAnsi="Times New Roman"/>
          <w:sz w:val="24"/>
          <w:szCs w:val="24"/>
        </w:rPr>
        <w:t xml:space="preserve"> </w:t>
      </w:r>
      <w:r w:rsidRPr="00D114BE">
        <w:rPr>
          <w:rFonts w:ascii="Times New Roman" w:hAnsi="Times New Roman"/>
          <w:sz w:val="24"/>
          <w:szCs w:val="24"/>
        </w:rPr>
        <w:t>Rather, plaintiffs must show that, on the facts of their case, the failure to issue an injunction would actually cause irrepar</w:t>
      </w:r>
      <w:r w:rsidRPr="00D114BE">
        <w:rPr>
          <w:rFonts w:ascii="Times New Roman" w:hAnsi="Times New Roman"/>
          <w:sz w:val="24"/>
          <w:szCs w:val="24"/>
        </w:rPr>
        <w:t>a</w:t>
      </w:r>
      <w:r w:rsidRPr="00D114BE">
        <w:rPr>
          <w:rFonts w:ascii="Times New Roman" w:hAnsi="Times New Roman"/>
          <w:sz w:val="24"/>
          <w:szCs w:val="24"/>
        </w:rPr>
        <w:t xml:space="preserve">ble harm. This is not to say that most copyright plaintiffs who have shown a likelihood of success on the merits would not be irreparably harmed absent preliminary injunctive relief. As an empirical matter, that may well be the case, and the historical tendency to issue preliminary injunctions  [*36] readily in copyright cases may reflect just that. </w:t>
      </w:r>
      <w:proofErr w:type="gramStart"/>
      <w:r w:rsidRPr="00D114BE">
        <w:rPr>
          <w:rFonts w:ascii="Times New Roman" w:hAnsi="Times New Roman"/>
          <w:i/>
          <w:iCs/>
          <w:sz w:val="24"/>
          <w:szCs w:val="24"/>
        </w:rPr>
        <w:t>See</w:t>
      </w:r>
      <w:r w:rsidRPr="00D114BE">
        <w:rPr>
          <w:rFonts w:ascii="Times New Roman" w:hAnsi="Times New Roman"/>
          <w:sz w:val="24"/>
          <w:szCs w:val="24"/>
        </w:rPr>
        <w:t xml:space="preserve"> H. Tomas Gomez-</w:t>
      </w:r>
      <w:proofErr w:type="spellStart"/>
      <w:r w:rsidRPr="00D114BE">
        <w:rPr>
          <w:rFonts w:ascii="Times New Roman" w:hAnsi="Times New Roman"/>
          <w:sz w:val="24"/>
          <w:szCs w:val="24"/>
        </w:rPr>
        <w:t>Arostegui</w:t>
      </w:r>
      <w:proofErr w:type="spellEnd"/>
      <w:r w:rsidRPr="00D114BE">
        <w:rPr>
          <w:rFonts w:ascii="Times New Roman" w:hAnsi="Times New Roman"/>
          <w:sz w:val="24"/>
          <w:szCs w:val="24"/>
        </w:rPr>
        <w:t xml:space="preserve">, </w:t>
      </w:r>
      <w:r w:rsidRPr="00D114BE">
        <w:rPr>
          <w:rFonts w:ascii="Times New Roman" w:hAnsi="Times New Roman"/>
          <w:i/>
          <w:iCs/>
          <w:sz w:val="24"/>
          <w:szCs w:val="24"/>
        </w:rPr>
        <w:t>What History Teaches Us About Copyright Injunctions and the Inadequate-Remedy-at-Law Requirement</w:t>
      </w:r>
      <w:r w:rsidRPr="00D114BE">
        <w:rPr>
          <w:rFonts w:ascii="Times New Roman" w:hAnsi="Times New Roman"/>
          <w:sz w:val="24"/>
          <w:szCs w:val="24"/>
        </w:rPr>
        <w:t>, 81 S. Cal. L. Rev. 1197, 1201 (2008) (concluding, after a thorough historical analysis, that "the historical record suggests that in copyright cases, legal remedies were deemed categorically inadequate").</w:t>
      </w:r>
      <w:proofErr w:type="gramEnd"/>
      <w:r w:rsidRPr="00D114BE">
        <w:rPr>
          <w:rFonts w:ascii="Times New Roman" w:hAnsi="Times New Roman"/>
          <w:sz w:val="24"/>
          <w:szCs w:val="24"/>
        </w:rPr>
        <w:t xml:space="preserve"> </w:t>
      </w:r>
      <w:r w:rsidR="00F57083">
        <w:rPr>
          <w:rFonts w:ascii="Times New Roman" w:hAnsi="Times New Roman"/>
          <w:sz w:val="24"/>
          <w:szCs w:val="24"/>
        </w:rPr>
        <w:t xml:space="preserve"> </w:t>
      </w:r>
      <w:r w:rsidRPr="00D114BE">
        <w:rPr>
          <w:rFonts w:ascii="Times New Roman" w:hAnsi="Times New Roman"/>
          <w:sz w:val="24"/>
          <w:szCs w:val="24"/>
        </w:rPr>
        <w:t xml:space="preserve">As Chief Justice Roberts noted, concurring in </w:t>
      </w:r>
      <w:r w:rsidRPr="00D114BE">
        <w:rPr>
          <w:rFonts w:ascii="Times New Roman" w:hAnsi="Times New Roman"/>
          <w:i/>
          <w:iCs/>
          <w:sz w:val="24"/>
          <w:szCs w:val="24"/>
        </w:rPr>
        <w:t>eBay</w:t>
      </w:r>
      <w:r w:rsidRPr="00D114BE">
        <w:rPr>
          <w:rFonts w:ascii="Times New Roman" w:hAnsi="Times New Roman"/>
          <w:sz w:val="24"/>
          <w:szCs w:val="24"/>
        </w:rPr>
        <w:t xml:space="preserve">: </w:t>
      </w:r>
    </w:p>
    <w:p w:rsidR="009D4400" w:rsidRPr="00D114BE" w:rsidRDefault="00A859E4" w:rsidP="00F57083">
      <w:pPr>
        <w:widowControl/>
        <w:spacing w:before="120"/>
        <w:ind w:left="605" w:right="605"/>
        <w:jc w:val="both"/>
        <w:rPr>
          <w:rFonts w:ascii="Times New Roman" w:hAnsi="Times New Roman"/>
          <w:sz w:val="24"/>
          <w:szCs w:val="24"/>
        </w:rPr>
      </w:pPr>
      <w:r w:rsidRPr="00D114BE">
        <w:rPr>
          <w:rFonts w:ascii="Times New Roman" w:hAnsi="Times New Roman"/>
          <w:sz w:val="24"/>
          <w:szCs w:val="24"/>
        </w:rPr>
        <w:t xml:space="preserve">   From at least the early 19th century, courts have granted injunctive relief upon a fin</w:t>
      </w:r>
      <w:r w:rsidRPr="00D114BE">
        <w:rPr>
          <w:rFonts w:ascii="Times New Roman" w:hAnsi="Times New Roman"/>
          <w:sz w:val="24"/>
          <w:szCs w:val="24"/>
        </w:rPr>
        <w:t>d</w:t>
      </w:r>
      <w:r w:rsidRPr="00D114BE">
        <w:rPr>
          <w:rFonts w:ascii="Times New Roman" w:hAnsi="Times New Roman"/>
          <w:sz w:val="24"/>
          <w:szCs w:val="24"/>
        </w:rPr>
        <w:t xml:space="preserve">ing of infringement in the vast majority of patent cases. This "long tradition of equity practice" is not surprising, given the difficulty of protecting a right to </w:t>
      </w:r>
      <w:r w:rsidRPr="00D114BE">
        <w:rPr>
          <w:rFonts w:ascii="Times New Roman" w:hAnsi="Times New Roman"/>
          <w:i/>
          <w:iCs/>
          <w:sz w:val="24"/>
          <w:szCs w:val="24"/>
        </w:rPr>
        <w:t>exclude</w:t>
      </w:r>
      <w:r w:rsidRPr="00D114BE">
        <w:rPr>
          <w:rFonts w:ascii="Times New Roman" w:hAnsi="Times New Roman"/>
          <w:sz w:val="24"/>
          <w:szCs w:val="24"/>
        </w:rPr>
        <w:t xml:space="preserve"> through monetary remedies . . </w:t>
      </w:r>
      <w:proofErr w:type="gramStart"/>
      <w:r w:rsidRPr="00D114BE">
        <w:rPr>
          <w:rFonts w:ascii="Times New Roman" w:hAnsi="Times New Roman"/>
          <w:sz w:val="24"/>
          <w:szCs w:val="24"/>
        </w:rPr>
        <w:t>. .</w:t>
      </w:r>
      <w:proofErr w:type="gramEnd"/>
      <w:r w:rsidRPr="00D114BE">
        <w:rPr>
          <w:rFonts w:ascii="Times New Roman" w:hAnsi="Times New Roman"/>
          <w:sz w:val="24"/>
          <w:szCs w:val="24"/>
        </w:rPr>
        <w:t xml:space="preserve"> This historical practice, as the Court holds, does not </w:t>
      </w:r>
      <w:r w:rsidRPr="00D114BE">
        <w:rPr>
          <w:rFonts w:ascii="Times New Roman" w:hAnsi="Times New Roman"/>
          <w:i/>
          <w:iCs/>
          <w:sz w:val="24"/>
          <w:szCs w:val="24"/>
        </w:rPr>
        <w:t>entitle</w:t>
      </w:r>
      <w:r w:rsidRPr="00D114BE">
        <w:rPr>
          <w:rFonts w:ascii="Times New Roman" w:hAnsi="Times New Roman"/>
          <w:sz w:val="24"/>
          <w:szCs w:val="24"/>
        </w:rPr>
        <w:t xml:space="preserve"> a patentee to [an] . . . injunction or justify a </w:t>
      </w:r>
      <w:r w:rsidRPr="00D114BE">
        <w:rPr>
          <w:rFonts w:ascii="Times New Roman" w:hAnsi="Times New Roman"/>
          <w:i/>
          <w:iCs/>
          <w:sz w:val="24"/>
          <w:szCs w:val="24"/>
        </w:rPr>
        <w:t>general rule</w:t>
      </w:r>
      <w:r w:rsidRPr="00D114BE">
        <w:rPr>
          <w:rFonts w:ascii="Times New Roman" w:hAnsi="Times New Roman"/>
          <w:sz w:val="24"/>
          <w:szCs w:val="24"/>
        </w:rPr>
        <w:t xml:space="preserve"> that such injunctions should </w:t>
      </w:r>
      <w:proofErr w:type="gramStart"/>
      <w:r w:rsidRPr="00D114BE">
        <w:rPr>
          <w:rFonts w:ascii="Times New Roman" w:hAnsi="Times New Roman"/>
          <w:sz w:val="24"/>
          <w:szCs w:val="24"/>
        </w:rPr>
        <w:t>i</w:t>
      </w:r>
      <w:r w:rsidRPr="00D114BE">
        <w:rPr>
          <w:rFonts w:ascii="Times New Roman" w:hAnsi="Times New Roman"/>
          <w:sz w:val="24"/>
          <w:szCs w:val="24"/>
        </w:rPr>
        <w:t>s</w:t>
      </w:r>
      <w:r w:rsidRPr="00D114BE">
        <w:rPr>
          <w:rFonts w:ascii="Times New Roman" w:hAnsi="Times New Roman"/>
          <w:sz w:val="24"/>
          <w:szCs w:val="24"/>
        </w:rPr>
        <w:t>sue.</w:t>
      </w:r>
      <w:proofErr w:type="gramEnd"/>
      <w:r w:rsidRPr="00D114BE">
        <w:rPr>
          <w:rFonts w:ascii="Times New Roman" w:hAnsi="Times New Roman"/>
          <w:sz w:val="24"/>
          <w:szCs w:val="24"/>
        </w:rPr>
        <w:t xml:space="preserve"> . . . At the same time, there is a difference between exercising equitable discretion pursuant to the established four-factor test and writing on an entirely clean </w:t>
      </w:r>
      <w:proofErr w:type="gramStart"/>
      <w:r w:rsidRPr="00D114BE">
        <w:rPr>
          <w:rFonts w:ascii="Times New Roman" w:hAnsi="Times New Roman"/>
          <w:sz w:val="24"/>
          <w:szCs w:val="24"/>
        </w:rPr>
        <w:t>slate.</w:t>
      </w:r>
      <w:proofErr w:type="gramEnd"/>
      <w:r w:rsidRPr="00D114BE">
        <w:rPr>
          <w:rFonts w:ascii="Times New Roman" w:hAnsi="Times New Roman"/>
          <w:sz w:val="24"/>
          <w:szCs w:val="24"/>
        </w:rPr>
        <w:t xml:space="preserve"> . . . When it comes to discerning and applying those standards, in this area as others, a page of history is worth a volume of logic. </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But by anchoring the injunction standard to equitable principles, albeit with one eye on histor</w:t>
      </w:r>
      <w:r w:rsidRPr="00D114BE">
        <w:rPr>
          <w:rFonts w:ascii="Times New Roman" w:hAnsi="Times New Roman"/>
          <w:sz w:val="24"/>
          <w:szCs w:val="24"/>
        </w:rPr>
        <w:t>i</w:t>
      </w:r>
      <w:r w:rsidRPr="00D114BE">
        <w:rPr>
          <w:rFonts w:ascii="Times New Roman" w:hAnsi="Times New Roman"/>
          <w:sz w:val="24"/>
          <w:szCs w:val="24"/>
        </w:rPr>
        <w:t xml:space="preserve">cal tendencies, courts are able to keep pace with innovation in this rapidly changing technological area. Justice Kennedy, responding to Justice Roberts, made this very point as to patent injunctions in his </w:t>
      </w:r>
      <w:r w:rsidRPr="00D114BE">
        <w:rPr>
          <w:rFonts w:ascii="Times New Roman" w:hAnsi="Times New Roman"/>
          <w:i/>
          <w:iCs/>
          <w:sz w:val="24"/>
          <w:szCs w:val="24"/>
        </w:rPr>
        <w:t>eBay</w:t>
      </w:r>
      <w:r w:rsidRPr="00D114BE">
        <w:rPr>
          <w:rFonts w:ascii="Times New Roman" w:hAnsi="Times New Roman"/>
          <w:sz w:val="24"/>
          <w:szCs w:val="24"/>
        </w:rPr>
        <w:t xml:space="preserve"> concurrence. Although the "lesson of the historical practice . . . is most helpful and i</w:t>
      </w:r>
      <w:r w:rsidRPr="00D114BE">
        <w:rPr>
          <w:rFonts w:ascii="Times New Roman" w:hAnsi="Times New Roman"/>
          <w:sz w:val="24"/>
          <w:szCs w:val="24"/>
        </w:rPr>
        <w:t>n</w:t>
      </w:r>
      <w:r w:rsidRPr="00D114BE">
        <w:rPr>
          <w:rFonts w:ascii="Times New Roman" w:hAnsi="Times New Roman"/>
          <w:sz w:val="24"/>
          <w:szCs w:val="24"/>
        </w:rPr>
        <w:t xml:space="preserve">structive when the circumstances of a case bear substantial parallels to litigation the courts have confronted </w:t>
      </w:r>
      <w:proofErr w:type="gramStart"/>
      <w:r w:rsidRPr="00D114BE">
        <w:rPr>
          <w:rFonts w:ascii="Times New Roman" w:hAnsi="Times New Roman"/>
          <w:sz w:val="24"/>
          <w:szCs w:val="24"/>
        </w:rPr>
        <w:t>before[</w:t>
      </w:r>
      <w:proofErr w:type="gramEnd"/>
      <w:r w:rsidRPr="00D114BE">
        <w:rPr>
          <w:rFonts w:ascii="Times New Roman" w:hAnsi="Times New Roman"/>
          <w:sz w:val="24"/>
          <w:szCs w:val="24"/>
        </w:rPr>
        <w:t xml:space="preserve">,] . . . in many instances the nature of the patent being enforced and the economic function of the patent holder present considerations quite unlike earlier cases." Justice Kennedy concluded that changes in the way parties use patents </w:t>
      </w:r>
      <w:proofErr w:type="gramStart"/>
      <w:r w:rsidRPr="00D114BE">
        <w:rPr>
          <w:rFonts w:ascii="Times New Roman" w:hAnsi="Times New Roman"/>
          <w:sz w:val="24"/>
          <w:szCs w:val="24"/>
        </w:rPr>
        <w:t>may</w:t>
      </w:r>
      <w:proofErr w:type="gramEnd"/>
      <w:r w:rsidRPr="00D114BE">
        <w:rPr>
          <w:rFonts w:ascii="Times New Roman" w:hAnsi="Times New Roman"/>
          <w:sz w:val="24"/>
          <w:szCs w:val="24"/>
        </w:rPr>
        <w:t xml:space="preserve"> now mean that "legal damages [are] su</w:t>
      </w:r>
      <w:r w:rsidRPr="00D114BE">
        <w:rPr>
          <w:rFonts w:ascii="Times New Roman" w:hAnsi="Times New Roman"/>
          <w:sz w:val="24"/>
          <w:szCs w:val="24"/>
        </w:rPr>
        <w:t>f</w:t>
      </w:r>
      <w:r w:rsidRPr="00D114BE">
        <w:rPr>
          <w:rFonts w:ascii="Times New Roman" w:hAnsi="Times New Roman"/>
          <w:sz w:val="24"/>
          <w:szCs w:val="24"/>
        </w:rPr>
        <w:t xml:space="preserve">ficient to compensate for the infringement." </w:t>
      </w:r>
    </w:p>
    <w:p w:rsidR="009D4400" w:rsidRPr="00D114BE" w:rsidRDefault="009D4400" w:rsidP="00E5396D">
      <w:pPr>
        <w:widowControl/>
        <w:jc w:val="both"/>
        <w:rPr>
          <w:rFonts w:ascii="Times New Roman" w:hAnsi="Times New Roman"/>
          <w:sz w:val="24"/>
          <w:szCs w:val="24"/>
        </w:rPr>
      </w:pPr>
    </w:p>
    <w:p w:rsidR="009D4400" w:rsidRPr="00D114BE" w:rsidRDefault="00A859E4" w:rsidP="00F57083">
      <w:pPr>
        <w:widowControl/>
        <w:jc w:val="center"/>
        <w:rPr>
          <w:rFonts w:ascii="Times New Roman" w:hAnsi="Times New Roman"/>
          <w:sz w:val="24"/>
          <w:szCs w:val="24"/>
        </w:rPr>
      </w:pPr>
      <w:r w:rsidRPr="00D114BE">
        <w:rPr>
          <w:rFonts w:ascii="Times New Roman" w:hAnsi="Times New Roman"/>
          <w:sz w:val="24"/>
          <w:szCs w:val="24"/>
        </w:rPr>
        <w:t>C.</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Finally, courts must consider the public's interest. The object of copyright law is to promote the store of knowledge available to the public. But to the extent it accomplishes this end by providing individuals a financial incentive to contribute to the store of knowledge, the public's interest may well be already accounted  [*38] for by the plaintiff's interest.</w:t>
      </w:r>
    </w:p>
    <w:p w:rsidR="00022CC9"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The public's interest in free expression, however, is significant and is distinct from the parties' speech interests. </w:t>
      </w:r>
      <w:r w:rsidR="00022CC9">
        <w:rPr>
          <w:rFonts w:ascii="Times New Roman" w:hAnsi="Times New Roman"/>
          <w:sz w:val="24"/>
          <w:szCs w:val="24"/>
        </w:rPr>
        <w:t xml:space="preserve"> </w:t>
      </w:r>
      <w:r w:rsidRPr="00D114BE">
        <w:rPr>
          <w:rFonts w:ascii="Times New Roman" w:hAnsi="Times New Roman"/>
          <w:i/>
          <w:iCs/>
          <w:sz w:val="24"/>
          <w:szCs w:val="24"/>
        </w:rPr>
        <w:t xml:space="preserve">See Pac. Gas &amp; Elec. Co. v. Pub. </w:t>
      </w:r>
      <w:proofErr w:type="spellStart"/>
      <w:r w:rsidRPr="00D114BE">
        <w:rPr>
          <w:rFonts w:ascii="Times New Roman" w:hAnsi="Times New Roman"/>
          <w:i/>
          <w:iCs/>
          <w:sz w:val="24"/>
          <w:szCs w:val="24"/>
        </w:rPr>
        <w:t>Utils</w:t>
      </w:r>
      <w:proofErr w:type="spellEnd"/>
      <w:r w:rsidRPr="00D114BE">
        <w:rPr>
          <w:rFonts w:ascii="Times New Roman" w:hAnsi="Times New Roman"/>
          <w:i/>
          <w:iCs/>
          <w:sz w:val="24"/>
          <w:szCs w:val="24"/>
        </w:rPr>
        <w:t xml:space="preserve">. </w:t>
      </w:r>
      <w:proofErr w:type="spellStart"/>
      <w:r w:rsidRPr="00D114BE">
        <w:rPr>
          <w:rFonts w:ascii="Times New Roman" w:hAnsi="Times New Roman"/>
          <w:i/>
          <w:iCs/>
          <w:sz w:val="24"/>
          <w:szCs w:val="24"/>
        </w:rPr>
        <w:t>Comm'n</w:t>
      </w:r>
      <w:proofErr w:type="spellEnd"/>
      <w:r w:rsidRPr="00D114BE">
        <w:rPr>
          <w:rFonts w:ascii="Times New Roman" w:hAnsi="Times New Roman"/>
          <w:i/>
          <w:iCs/>
          <w:sz w:val="24"/>
          <w:szCs w:val="24"/>
        </w:rPr>
        <w:t xml:space="preserve"> of Cal</w:t>
      </w:r>
      <w:r w:rsidRPr="00D114BE">
        <w:rPr>
          <w:rFonts w:ascii="Times New Roman" w:hAnsi="Times New Roman"/>
          <w:sz w:val="24"/>
          <w:szCs w:val="24"/>
        </w:rPr>
        <w:t>., 475 U.S. 1, 8 (</w:t>
      </w:r>
      <w:r w:rsidR="00022CC9">
        <w:rPr>
          <w:rFonts w:ascii="Times New Roman" w:hAnsi="Times New Roman"/>
          <w:sz w:val="24"/>
          <w:szCs w:val="24"/>
        </w:rPr>
        <w:t>1986):</w:t>
      </w:r>
      <w:r w:rsidRPr="00D114BE">
        <w:rPr>
          <w:rFonts w:ascii="Times New Roman" w:hAnsi="Times New Roman"/>
          <w:sz w:val="24"/>
          <w:szCs w:val="24"/>
        </w:rPr>
        <w:t xml:space="preserve"> "By protecting those who wish to enter the marketplace of ideas from government attack, the First Amendment protects the public's interest in receiving information." Every injunction issued before a final adjudication on the merits risks enjoining speech protected by the First Amendment. Some uses, however, will so patently infringe another's copyright, without giving rise to an even colorable fair use defense, that the likely First Amendment value in the use is virtually nonexistent.</w:t>
      </w:r>
    </w:p>
    <w:p w:rsidR="009D4400" w:rsidRPr="00D114BE" w:rsidRDefault="009D4400" w:rsidP="00E5396D">
      <w:pPr>
        <w:widowControl/>
        <w:spacing w:before="120"/>
        <w:ind w:firstLine="360"/>
        <w:jc w:val="both"/>
        <w:rPr>
          <w:rFonts w:ascii="Times New Roman" w:hAnsi="Times New Roman"/>
          <w:sz w:val="24"/>
          <w:szCs w:val="24"/>
        </w:rPr>
      </w:pPr>
    </w:p>
    <w:p w:rsidR="009D4400" w:rsidRPr="00D114BE" w:rsidRDefault="00A859E4" w:rsidP="00022CC9">
      <w:pPr>
        <w:widowControl/>
        <w:spacing w:before="120"/>
        <w:jc w:val="center"/>
        <w:rPr>
          <w:rFonts w:ascii="Times New Roman" w:hAnsi="Times New Roman"/>
          <w:sz w:val="24"/>
          <w:szCs w:val="24"/>
        </w:rPr>
      </w:pPr>
      <w:r w:rsidRPr="00D114BE">
        <w:rPr>
          <w:rFonts w:ascii="Times New Roman" w:hAnsi="Times New Roman"/>
          <w:b/>
          <w:bCs/>
          <w:sz w:val="24"/>
          <w:szCs w:val="24"/>
        </w:rPr>
        <w:t>IV</w:t>
      </w:r>
      <w:r w:rsidRPr="00D114BE">
        <w:rPr>
          <w:rFonts w:ascii="Times New Roman" w:hAnsi="Times New Roman"/>
          <w:sz w:val="24"/>
          <w:szCs w:val="24"/>
        </w:rPr>
        <w:t>.</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 xml:space="preserve">Because the District Court considered only the first of the four factors that, under </w:t>
      </w:r>
      <w:r w:rsidRPr="00D114BE">
        <w:rPr>
          <w:rFonts w:ascii="Times New Roman" w:hAnsi="Times New Roman"/>
          <w:i/>
          <w:iCs/>
          <w:sz w:val="24"/>
          <w:szCs w:val="24"/>
        </w:rPr>
        <w:t>eBay</w:t>
      </w:r>
      <w:r w:rsidRPr="00D114BE">
        <w:rPr>
          <w:rFonts w:ascii="Times New Roman" w:hAnsi="Times New Roman"/>
          <w:sz w:val="24"/>
          <w:szCs w:val="24"/>
        </w:rPr>
        <w:t xml:space="preserve"> and our holding today, must be considered before issuing a preliminary injunction, we vacate and remand the case. But in the interest of judicial economy, we note that there is no reason to disturb the Di</w:t>
      </w:r>
      <w:r w:rsidRPr="00D114BE">
        <w:rPr>
          <w:rFonts w:ascii="Times New Roman" w:hAnsi="Times New Roman"/>
          <w:sz w:val="24"/>
          <w:szCs w:val="24"/>
        </w:rPr>
        <w:t>s</w:t>
      </w:r>
      <w:r w:rsidRPr="00D114BE">
        <w:rPr>
          <w:rFonts w:ascii="Times New Roman" w:hAnsi="Times New Roman"/>
          <w:sz w:val="24"/>
          <w:szCs w:val="24"/>
        </w:rPr>
        <w:t>trict Court's conclusion as to the factor it did consider--namely, that Salinger is likely to succeed on the merits of his copyright infringement claim.</w:t>
      </w:r>
    </w:p>
    <w:p w:rsidR="009D4400" w:rsidRPr="00D114BE" w:rsidRDefault="00022CC9" w:rsidP="00022CC9">
      <w:pPr>
        <w:widowControl/>
        <w:spacing w:before="120"/>
        <w:ind w:firstLine="360"/>
        <w:jc w:val="both"/>
        <w:rPr>
          <w:rFonts w:ascii="Times New Roman" w:hAnsi="Times New Roman"/>
          <w:sz w:val="24"/>
          <w:szCs w:val="24"/>
        </w:rPr>
      </w:pPr>
      <w:r>
        <w:rPr>
          <w:rFonts w:ascii="Times New Roman" w:hAnsi="Times New Roman"/>
          <w:sz w:val="24"/>
          <w:szCs w:val="24"/>
        </w:rPr>
        <w:t>Most of the matters relevant to</w:t>
      </w:r>
      <w:r w:rsidR="00A859E4" w:rsidRPr="00D114BE">
        <w:rPr>
          <w:rFonts w:ascii="Times New Roman" w:hAnsi="Times New Roman"/>
          <w:sz w:val="24"/>
          <w:szCs w:val="24"/>
        </w:rPr>
        <w:t xml:space="preserve"> [*39] Salinger's likelihood of success on the merits are either undisputed or readily established in his favor. Thus, Defendants do not contest either that Salinger owns a valid copyright in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or that they had actual access to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And while they argue only that </w:t>
      </w:r>
      <w:r w:rsidR="00A859E4" w:rsidRPr="00D114BE">
        <w:rPr>
          <w:rFonts w:ascii="Times New Roman" w:hAnsi="Times New Roman"/>
          <w:i/>
          <w:iCs/>
          <w:sz w:val="24"/>
          <w:szCs w:val="24"/>
        </w:rPr>
        <w:t>60 Years Later</w:t>
      </w:r>
      <w:r w:rsidR="00A859E4" w:rsidRPr="00D114BE">
        <w:rPr>
          <w:rFonts w:ascii="Times New Roman" w:hAnsi="Times New Roman"/>
          <w:sz w:val="24"/>
          <w:szCs w:val="24"/>
        </w:rPr>
        <w:t xml:space="preserve"> and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are not substantially similar, that cont</w:t>
      </w:r>
      <w:r>
        <w:rPr>
          <w:rFonts w:ascii="Times New Roman" w:hAnsi="Times New Roman"/>
          <w:sz w:val="24"/>
          <w:szCs w:val="24"/>
        </w:rPr>
        <w:t>ention is manifestly meritless.</w:t>
      </w:r>
      <w:r w:rsidR="00A859E4" w:rsidRPr="00D114BE">
        <w:rPr>
          <w:rFonts w:ascii="Times New Roman" w:hAnsi="Times New Roman"/>
          <w:sz w:val="24"/>
          <w:szCs w:val="24"/>
        </w:rPr>
        <w:t xml:space="preserve"> "In considering substantial similarity between two items, we review the district court's findings </w:t>
      </w:r>
      <w:r w:rsidR="00A859E4" w:rsidRPr="00D114BE">
        <w:rPr>
          <w:rFonts w:ascii="Times New Roman" w:hAnsi="Times New Roman"/>
          <w:i/>
          <w:iCs/>
          <w:sz w:val="24"/>
          <w:szCs w:val="24"/>
        </w:rPr>
        <w:t>de novo</w:t>
      </w:r>
      <w:r w:rsidR="00A859E4" w:rsidRPr="00D114BE">
        <w:rPr>
          <w:rFonts w:ascii="Times New Roman" w:hAnsi="Times New Roman"/>
          <w:sz w:val="24"/>
          <w:szCs w:val="24"/>
        </w:rPr>
        <w:t>--not on the clearly erroneous standard--because what is required is only a visual comparison of the works, rather than credibility, which we are in as good a position to decide as was the district court</w:t>
      </w:r>
      <w:r w:rsidR="00B914F8" w:rsidRPr="00D114BE">
        <w:rPr>
          <w:rFonts w:ascii="Times New Roman" w:hAnsi="Times New Roman"/>
          <w:sz w:val="24"/>
          <w:szCs w:val="24"/>
        </w:rPr>
        <w:t>.</w:t>
      </w:r>
      <w:r w:rsidR="00B914F8" w:rsidRPr="00D114BE">
        <w:rPr>
          <w:rStyle w:val="FootnoteReference"/>
          <w:rFonts w:ascii="Times New Roman" w:hAnsi="Times New Roman"/>
          <w:sz w:val="24"/>
          <w:szCs w:val="24"/>
        </w:rPr>
        <w:footnoteReference w:id="11"/>
      </w:r>
      <w:r w:rsidR="00B914F8" w:rsidRPr="00D114BE">
        <w:rPr>
          <w:rFonts w:ascii="Times New Roman" w:hAnsi="Times New Roman"/>
          <w:sz w:val="24"/>
          <w:szCs w:val="24"/>
        </w:rPr>
        <w:t xml:space="preserve"> </w:t>
      </w:r>
      <w:r w:rsidR="00A859E4" w:rsidRPr="00D114BE">
        <w:rPr>
          <w:rFonts w:ascii="Times New Roman" w:hAnsi="Times New Roman"/>
          <w:sz w:val="24"/>
          <w:szCs w:val="24"/>
        </w:rPr>
        <w:t xml:space="preserve"> And for largely the same reasons as the District Court, we affirm the Di</w:t>
      </w:r>
      <w:r w:rsidR="00A859E4" w:rsidRPr="00D114BE">
        <w:rPr>
          <w:rFonts w:ascii="Times New Roman" w:hAnsi="Times New Roman"/>
          <w:sz w:val="24"/>
          <w:szCs w:val="24"/>
        </w:rPr>
        <w:t>s</w:t>
      </w:r>
      <w:r w:rsidR="00A859E4" w:rsidRPr="00D114BE">
        <w:rPr>
          <w:rFonts w:ascii="Times New Roman" w:hAnsi="Times New Roman"/>
          <w:sz w:val="24"/>
          <w:szCs w:val="24"/>
        </w:rPr>
        <w:t xml:space="preserve">trict Court's finding that </w:t>
      </w:r>
      <w:r w:rsidR="00A859E4" w:rsidRPr="00D114BE">
        <w:rPr>
          <w:rFonts w:ascii="Times New Roman" w:hAnsi="Times New Roman"/>
          <w:i/>
          <w:iCs/>
          <w:sz w:val="24"/>
          <w:szCs w:val="24"/>
        </w:rPr>
        <w:t>Catcher</w:t>
      </w:r>
      <w:r w:rsidR="00A859E4" w:rsidRPr="00D114BE">
        <w:rPr>
          <w:rFonts w:ascii="Times New Roman" w:hAnsi="Times New Roman"/>
          <w:sz w:val="24"/>
          <w:szCs w:val="24"/>
        </w:rPr>
        <w:t xml:space="preserve"> and </w:t>
      </w:r>
      <w:r w:rsidR="00A859E4" w:rsidRPr="00D114BE">
        <w:rPr>
          <w:rFonts w:ascii="Times New Roman" w:hAnsi="Times New Roman"/>
          <w:i/>
          <w:iCs/>
          <w:sz w:val="24"/>
          <w:szCs w:val="24"/>
        </w:rPr>
        <w:t>60 Years Later</w:t>
      </w:r>
      <w:r w:rsidR="00A859E4" w:rsidRPr="00D114BE">
        <w:rPr>
          <w:rFonts w:ascii="Times New Roman" w:hAnsi="Times New Roman"/>
          <w:sz w:val="24"/>
          <w:szCs w:val="24"/>
        </w:rPr>
        <w:t xml:space="preserve"> are substantially similar.</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More serious is Defendants' assertion of a fair use defense. And at this preliminary stage, we agree with the District Court that Defendants will not likely be able to make out such a defense.  [*40] The District Court in its discussion of fair use focused on the first statutory factor: the "pu</w:t>
      </w:r>
      <w:r w:rsidRPr="00D114BE">
        <w:rPr>
          <w:rFonts w:ascii="Times New Roman" w:hAnsi="Times New Roman"/>
          <w:sz w:val="24"/>
          <w:szCs w:val="24"/>
        </w:rPr>
        <w:t>r</w:t>
      </w:r>
      <w:r w:rsidRPr="00D114BE">
        <w:rPr>
          <w:rFonts w:ascii="Times New Roman" w:hAnsi="Times New Roman"/>
          <w:sz w:val="24"/>
          <w:szCs w:val="24"/>
        </w:rPr>
        <w:t xml:space="preserve">pose and character of the use." 17 U.S.C. </w:t>
      </w:r>
      <w:r w:rsidR="00AC223E">
        <w:rPr>
          <w:rFonts w:ascii="Times New Roman" w:hAnsi="Times New Roman"/>
          <w:sz w:val="24"/>
          <w:szCs w:val="24"/>
        </w:rPr>
        <w:t xml:space="preserve"> </w:t>
      </w:r>
      <w:proofErr w:type="gramStart"/>
      <w:r w:rsidR="00AC223E">
        <w:rPr>
          <w:rFonts w:ascii="Times New Roman" w:hAnsi="Times New Roman"/>
          <w:sz w:val="24"/>
          <w:szCs w:val="24"/>
        </w:rPr>
        <w:t>§</w:t>
      </w:r>
      <w:r w:rsidRPr="00D114BE">
        <w:rPr>
          <w:rFonts w:ascii="Times New Roman" w:hAnsi="Times New Roman"/>
          <w:sz w:val="24"/>
          <w:szCs w:val="24"/>
        </w:rPr>
        <w:t>107(1).</w:t>
      </w:r>
      <w:proofErr w:type="gramEnd"/>
      <w:r w:rsidRPr="00D114BE">
        <w:rPr>
          <w:rFonts w:ascii="Times New Roman" w:hAnsi="Times New Roman"/>
          <w:sz w:val="24"/>
          <w:szCs w:val="24"/>
        </w:rPr>
        <w:t xml:space="preserve"> In doing this, the Court found that "[</w:t>
      </w:r>
      <w:proofErr w:type="spellStart"/>
      <w:proofErr w:type="gramStart"/>
      <w:r w:rsidRPr="00D114BE">
        <w:rPr>
          <w:rFonts w:ascii="Times New Roman" w:hAnsi="Times New Roman"/>
          <w:sz w:val="24"/>
          <w:szCs w:val="24"/>
        </w:rPr>
        <w:t>i</w:t>
      </w:r>
      <w:proofErr w:type="spellEnd"/>
      <w:r w:rsidRPr="00D114BE">
        <w:rPr>
          <w:rFonts w:ascii="Times New Roman" w:hAnsi="Times New Roman"/>
          <w:sz w:val="24"/>
          <w:szCs w:val="24"/>
        </w:rPr>
        <w:t>]t</w:t>
      </w:r>
      <w:proofErr w:type="gramEnd"/>
      <w:r w:rsidRPr="00D114BE">
        <w:rPr>
          <w:rFonts w:ascii="Times New Roman" w:hAnsi="Times New Roman"/>
          <w:sz w:val="24"/>
          <w:szCs w:val="24"/>
        </w:rPr>
        <w:t xml:space="preserve"> is si</w:t>
      </w:r>
      <w:r w:rsidRPr="00D114BE">
        <w:rPr>
          <w:rFonts w:ascii="Times New Roman" w:hAnsi="Times New Roman"/>
          <w:sz w:val="24"/>
          <w:szCs w:val="24"/>
        </w:rPr>
        <w:t>m</w:t>
      </w:r>
      <w:r w:rsidRPr="00D114BE">
        <w:rPr>
          <w:rFonts w:ascii="Times New Roman" w:hAnsi="Times New Roman"/>
          <w:sz w:val="24"/>
          <w:szCs w:val="24"/>
        </w:rPr>
        <w:t xml:space="preserve">ply not credible for Defendant </w:t>
      </w:r>
      <w:proofErr w:type="spellStart"/>
      <w:r w:rsidRPr="00D114BE">
        <w:rPr>
          <w:rFonts w:ascii="Times New Roman" w:hAnsi="Times New Roman"/>
          <w:sz w:val="24"/>
          <w:szCs w:val="24"/>
        </w:rPr>
        <w:t>Colting</w:t>
      </w:r>
      <w:proofErr w:type="spellEnd"/>
      <w:r w:rsidRPr="00D114BE">
        <w:rPr>
          <w:rFonts w:ascii="Times New Roman" w:hAnsi="Times New Roman"/>
          <w:sz w:val="24"/>
          <w:szCs w:val="24"/>
        </w:rPr>
        <w:t xml:space="preserve"> to assert now that his primary purpose was to critique Sali</w:t>
      </w:r>
      <w:r w:rsidRPr="00D114BE">
        <w:rPr>
          <w:rFonts w:ascii="Times New Roman" w:hAnsi="Times New Roman"/>
          <w:sz w:val="24"/>
          <w:szCs w:val="24"/>
        </w:rPr>
        <w:t>n</w:t>
      </w:r>
      <w:r w:rsidRPr="00D114BE">
        <w:rPr>
          <w:rFonts w:ascii="Times New Roman" w:hAnsi="Times New Roman"/>
          <w:sz w:val="24"/>
          <w:szCs w:val="24"/>
        </w:rPr>
        <w:t>ger and his persona, while he and his agents' previous statements regarding the book discuss no such critique, and in fact reference various other purposes behind the book."</w:t>
      </w:r>
      <w:r w:rsidR="00D114BE" w:rsidRPr="00D114BE">
        <w:rPr>
          <w:rFonts w:ascii="Times New Roman" w:hAnsi="Times New Roman"/>
          <w:sz w:val="24"/>
          <w:szCs w:val="24"/>
        </w:rPr>
        <w:t xml:space="preserve"> </w:t>
      </w:r>
      <w:r w:rsidRPr="00D114BE">
        <w:rPr>
          <w:rFonts w:ascii="Times New Roman" w:hAnsi="Times New Roman"/>
          <w:sz w:val="24"/>
          <w:szCs w:val="24"/>
        </w:rPr>
        <w:t xml:space="preserve"> Such a finding is not clear error. It may be that a court can find that the fair use factor favors a defendant even when the defe</w:t>
      </w:r>
      <w:r w:rsidRPr="00D114BE">
        <w:rPr>
          <w:rFonts w:ascii="Times New Roman" w:hAnsi="Times New Roman"/>
          <w:sz w:val="24"/>
          <w:szCs w:val="24"/>
        </w:rPr>
        <w:t>n</w:t>
      </w:r>
      <w:r w:rsidRPr="00D114BE">
        <w:rPr>
          <w:rFonts w:ascii="Times New Roman" w:hAnsi="Times New Roman"/>
          <w:sz w:val="24"/>
          <w:szCs w:val="24"/>
        </w:rPr>
        <w:t xml:space="preserve">dant and his work lack a transformative </w:t>
      </w:r>
      <w:r w:rsidRPr="00D114BE">
        <w:rPr>
          <w:rFonts w:ascii="Times New Roman" w:hAnsi="Times New Roman"/>
          <w:i/>
          <w:iCs/>
          <w:sz w:val="24"/>
          <w:szCs w:val="24"/>
        </w:rPr>
        <w:t>purpose</w:t>
      </w:r>
      <w:r w:rsidRPr="00D114BE">
        <w:rPr>
          <w:rFonts w:ascii="Times New Roman" w:hAnsi="Times New Roman"/>
          <w:sz w:val="24"/>
          <w:szCs w:val="24"/>
        </w:rPr>
        <w:t xml:space="preserve">. </w:t>
      </w:r>
      <w:r w:rsidR="001F3A8E">
        <w:rPr>
          <w:rFonts w:ascii="Times New Roman" w:hAnsi="Times New Roman"/>
          <w:sz w:val="24"/>
          <w:szCs w:val="24"/>
        </w:rPr>
        <w:t xml:space="preserve"> </w:t>
      </w:r>
      <w:r w:rsidRPr="00D114BE">
        <w:rPr>
          <w:rFonts w:ascii="Times New Roman" w:hAnsi="Times New Roman"/>
          <w:sz w:val="24"/>
          <w:szCs w:val="24"/>
        </w:rPr>
        <w:t>We need not decide that issue here, however, for when we consider the District Court's credibility finding together with all the other facts in this case, we conclude, with the District Court, that Defendants are not likely to prevail in their fair use d</w:t>
      </w:r>
      <w:r w:rsidRPr="00D114BE">
        <w:rPr>
          <w:rFonts w:ascii="Times New Roman" w:hAnsi="Times New Roman"/>
          <w:sz w:val="24"/>
          <w:szCs w:val="24"/>
        </w:rPr>
        <w:t>e</w:t>
      </w:r>
      <w:r w:rsidRPr="00D114BE">
        <w:rPr>
          <w:rFonts w:ascii="Times New Roman" w:hAnsi="Times New Roman"/>
          <w:sz w:val="24"/>
          <w:szCs w:val="24"/>
        </w:rPr>
        <w:t>fense.</w:t>
      </w:r>
      <w:r w:rsidR="00D114BE" w:rsidRPr="00D114BE">
        <w:rPr>
          <w:rStyle w:val="FootnoteReference"/>
          <w:rFonts w:ascii="Times New Roman" w:hAnsi="Times New Roman"/>
          <w:sz w:val="24"/>
          <w:szCs w:val="24"/>
        </w:rPr>
        <w:footnoteReference w:id="12"/>
      </w:r>
    </w:p>
    <w:p w:rsidR="009D4400" w:rsidRPr="00D114BE" w:rsidRDefault="009D4400" w:rsidP="00E5396D">
      <w:pPr>
        <w:widowControl/>
        <w:jc w:val="both"/>
        <w:rPr>
          <w:rFonts w:ascii="Times New Roman" w:hAnsi="Times New Roman"/>
          <w:sz w:val="24"/>
          <w:szCs w:val="24"/>
        </w:rPr>
      </w:pPr>
    </w:p>
    <w:p w:rsidR="009D4400" w:rsidRPr="00D114BE" w:rsidRDefault="00A859E4" w:rsidP="00AC223E">
      <w:pPr>
        <w:widowControl/>
        <w:jc w:val="center"/>
        <w:rPr>
          <w:rFonts w:ascii="Times New Roman" w:hAnsi="Times New Roman"/>
          <w:sz w:val="24"/>
          <w:szCs w:val="24"/>
        </w:rPr>
      </w:pPr>
      <w:r w:rsidRPr="00D114BE">
        <w:rPr>
          <w:rFonts w:ascii="Times New Roman" w:hAnsi="Times New Roman"/>
          <w:b/>
          <w:bCs/>
          <w:sz w:val="24"/>
          <w:szCs w:val="24"/>
        </w:rPr>
        <w:t>CONCLUSION</w:t>
      </w:r>
    </w:p>
    <w:p w:rsidR="009D4400" w:rsidRPr="00D114BE" w:rsidRDefault="00A859E4" w:rsidP="00E5396D">
      <w:pPr>
        <w:widowControl/>
        <w:spacing w:before="120"/>
        <w:ind w:firstLine="360"/>
        <w:jc w:val="both"/>
        <w:rPr>
          <w:rFonts w:ascii="Times New Roman" w:hAnsi="Times New Roman"/>
          <w:sz w:val="24"/>
          <w:szCs w:val="24"/>
        </w:rPr>
      </w:pPr>
      <w:r w:rsidRPr="00D114BE">
        <w:rPr>
          <w:rFonts w:ascii="Times New Roman" w:hAnsi="Times New Roman"/>
          <w:sz w:val="24"/>
          <w:szCs w:val="24"/>
        </w:rPr>
        <w:t>In this preliminary injunction case, the District Court erred by not applying the equitable sta</w:t>
      </w:r>
      <w:r w:rsidRPr="00D114BE">
        <w:rPr>
          <w:rFonts w:ascii="Times New Roman" w:hAnsi="Times New Roman"/>
          <w:sz w:val="24"/>
          <w:szCs w:val="24"/>
        </w:rPr>
        <w:t>n</w:t>
      </w:r>
      <w:r w:rsidRPr="00D114BE">
        <w:rPr>
          <w:rFonts w:ascii="Times New Roman" w:hAnsi="Times New Roman"/>
          <w:sz w:val="24"/>
          <w:szCs w:val="24"/>
        </w:rPr>
        <w:t xml:space="preserve">dard outlined by the Supreme Court in </w:t>
      </w:r>
      <w:r w:rsidRPr="00D114BE">
        <w:rPr>
          <w:rFonts w:ascii="Times New Roman" w:hAnsi="Times New Roman"/>
          <w:i/>
          <w:iCs/>
          <w:sz w:val="24"/>
          <w:szCs w:val="24"/>
        </w:rPr>
        <w:t xml:space="preserve">eBay, Inc. v. </w:t>
      </w:r>
      <w:proofErr w:type="spellStart"/>
      <w:r w:rsidRPr="00D114BE">
        <w:rPr>
          <w:rFonts w:ascii="Times New Roman" w:hAnsi="Times New Roman"/>
          <w:i/>
          <w:iCs/>
          <w:sz w:val="24"/>
          <w:szCs w:val="24"/>
        </w:rPr>
        <w:t>MercExchange</w:t>
      </w:r>
      <w:proofErr w:type="spellEnd"/>
      <w:r w:rsidRPr="00D114BE">
        <w:rPr>
          <w:rFonts w:ascii="Times New Roman" w:hAnsi="Times New Roman"/>
          <w:i/>
          <w:iCs/>
          <w:sz w:val="24"/>
          <w:szCs w:val="24"/>
        </w:rPr>
        <w:t>, L.L.C</w:t>
      </w:r>
      <w:r w:rsidRPr="00D114BE">
        <w:rPr>
          <w:rFonts w:ascii="Times New Roman" w:hAnsi="Times New Roman"/>
          <w:sz w:val="24"/>
          <w:szCs w:val="24"/>
        </w:rPr>
        <w:t xml:space="preserve">. and </w:t>
      </w:r>
      <w:r w:rsidRPr="00D114BE">
        <w:rPr>
          <w:rFonts w:ascii="Times New Roman" w:hAnsi="Times New Roman"/>
          <w:i/>
          <w:iCs/>
          <w:sz w:val="24"/>
          <w:szCs w:val="24"/>
        </w:rPr>
        <w:t>Winter v. Natural Resources Defense Council</w:t>
      </w:r>
      <w:r w:rsidRPr="00D114BE">
        <w:rPr>
          <w:rFonts w:ascii="Times New Roman" w:hAnsi="Times New Roman"/>
          <w:sz w:val="24"/>
          <w:szCs w:val="24"/>
        </w:rPr>
        <w:t xml:space="preserve">. Accordingly, we vacate and remand for further proceedings consistent with this opinion. The preliminary injunction will stay in place for ten days following the issuance of the mandate so that </w:t>
      </w:r>
      <w:proofErr w:type="spellStart"/>
      <w:r w:rsidRPr="00D114BE">
        <w:rPr>
          <w:rFonts w:ascii="Times New Roman" w:hAnsi="Times New Roman"/>
          <w:sz w:val="24"/>
          <w:szCs w:val="24"/>
        </w:rPr>
        <w:t>Appellees</w:t>
      </w:r>
      <w:proofErr w:type="spellEnd"/>
      <w:r w:rsidRPr="00D114BE">
        <w:rPr>
          <w:rFonts w:ascii="Times New Roman" w:hAnsi="Times New Roman"/>
          <w:sz w:val="24"/>
          <w:szCs w:val="24"/>
        </w:rPr>
        <w:t xml:space="preserve"> will have an opportunity to apply for a temporary restraining order pending the rehearing of the motion for a preliminary injunction.</w:t>
      </w:r>
    </w:p>
    <w:p w:rsidR="009D4400" w:rsidRDefault="009D4400">
      <w:pPr>
        <w:widowControl/>
        <w:spacing w:before="120"/>
        <w:ind w:firstLine="360"/>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p w:rsidR="009D4400" w:rsidRPr="00D114BE" w:rsidRDefault="009D4400">
      <w:pPr>
        <w:widowControl/>
        <w:rPr>
          <w:rFonts w:ascii="Times New Roman" w:hAnsi="Times New Roman"/>
          <w:sz w:val="24"/>
          <w:szCs w:val="24"/>
        </w:rPr>
      </w:pPr>
    </w:p>
    <w:sectPr w:rsidR="009D4400" w:rsidRPr="00D114BE" w:rsidSect="009D4400">
      <w:headerReference w:type="default"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83" w:rsidRDefault="00F57083">
      <w:r>
        <w:separator/>
      </w:r>
    </w:p>
  </w:endnote>
  <w:endnote w:type="continuationSeparator" w:id="0">
    <w:p w:rsidR="00F57083" w:rsidRDefault="00F57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83" w:rsidRDefault="00F57083">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83" w:rsidRDefault="00F57083">
      <w:r>
        <w:separator/>
      </w:r>
    </w:p>
  </w:footnote>
  <w:footnote w:type="continuationSeparator" w:id="0">
    <w:p w:rsidR="00F57083" w:rsidRDefault="00F57083">
      <w:r>
        <w:continuationSeparator/>
      </w:r>
    </w:p>
  </w:footnote>
  <w:footnote w:id="1">
    <w:p w:rsidR="00F57083"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We note that Plaintiff-</w:t>
      </w:r>
      <w:proofErr w:type="spellStart"/>
      <w:r>
        <w:rPr>
          <w:rFonts w:ascii="Times New Roman" w:hAnsi="Times New Roman"/>
        </w:rPr>
        <w:t>Appellee</w:t>
      </w:r>
      <w:proofErr w:type="spellEnd"/>
      <w:r>
        <w:rPr>
          <w:rFonts w:ascii="Times New Roman" w:hAnsi="Times New Roman"/>
        </w:rPr>
        <w:t xml:space="preserve"> J.D. Salinger died during the pendency of this appeal. In a February 18, 2010 order, we granted the motion of Colleen M. Salinger and Matthew R. Salinger, trustees of the J.D. Salinger Literary Trust, to be substituted for Salinger as </w:t>
      </w:r>
      <w:proofErr w:type="spellStart"/>
      <w:r>
        <w:rPr>
          <w:rFonts w:ascii="Times New Roman" w:hAnsi="Times New Roman"/>
        </w:rPr>
        <w:t>Appellees</w:t>
      </w:r>
      <w:proofErr w:type="spellEnd"/>
      <w:r>
        <w:rPr>
          <w:rFonts w:ascii="Times New Roman" w:hAnsi="Times New Roman"/>
        </w:rPr>
        <w:t>. For reasons of convenience, however, we will continue to refer to Salinger as "Plaintiff</w:t>
      </w:r>
      <w:r w:rsidR="001F3A8E">
        <w:rPr>
          <w:rFonts w:ascii="Times New Roman" w:hAnsi="Times New Roman"/>
        </w:rPr>
        <w:t xml:space="preserve"> or "</w:t>
      </w:r>
      <w:proofErr w:type="spellStart"/>
      <w:r w:rsidR="001F3A8E">
        <w:rPr>
          <w:rFonts w:ascii="Times New Roman" w:hAnsi="Times New Roman"/>
        </w:rPr>
        <w:t>Appellee</w:t>
      </w:r>
      <w:proofErr w:type="spellEnd"/>
      <w:r w:rsidR="001F3A8E">
        <w:rPr>
          <w:rFonts w:ascii="Times New Roman" w:hAnsi="Times New Roman"/>
        </w:rPr>
        <w:t>" in this opinion.</w:t>
      </w:r>
    </w:p>
    <w:p w:rsidR="00F57083" w:rsidRDefault="00F57083" w:rsidP="001F3A8E">
      <w:pPr>
        <w:pStyle w:val="FootnoteText"/>
        <w:spacing w:after="120"/>
        <w:jc w:val="both"/>
      </w:pPr>
    </w:p>
  </w:footnote>
  <w:footnote w:id="2">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proofErr w:type="spellStart"/>
      <w:r>
        <w:rPr>
          <w:rFonts w:ascii="Times New Roman" w:hAnsi="Times New Roman"/>
        </w:rPr>
        <w:t>Menand</w:t>
      </w:r>
      <w:proofErr w:type="spellEnd"/>
      <w:r>
        <w:rPr>
          <w:rFonts w:ascii="Times New Roman" w:hAnsi="Times New Roman"/>
        </w:rPr>
        <w:t xml:space="preserve"> includes among </w:t>
      </w:r>
      <w:r>
        <w:rPr>
          <w:rFonts w:ascii="Times New Roman" w:hAnsi="Times New Roman"/>
          <w:i/>
          <w:iCs/>
        </w:rPr>
        <w:t>Catcher</w:t>
      </w:r>
      <w:r>
        <w:rPr>
          <w:rFonts w:ascii="Times New Roman" w:hAnsi="Times New Roman"/>
        </w:rPr>
        <w:t xml:space="preserve"> "rewrites" Sylvia Plath's </w:t>
      </w:r>
      <w:r>
        <w:rPr>
          <w:rFonts w:ascii="Times New Roman" w:hAnsi="Times New Roman"/>
          <w:i/>
          <w:iCs/>
        </w:rPr>
        <w:t>The Bell Jar</w:t>
      </w:r>
      <w:r>
        <w:rPr>
          <w:rFonts w:ascii="Times New Roman" w:hAnsi="Times New Roman"/>
        </w:rPr>
        <w:t xml:space="preserve"> (1963), Hunter S. Thompson's </w:t>
      </w:r>
      <w:r>
        <w:rPr>
          <w:rFonts w:ascii="Times New Roman" w:hAnsi="Times New Roman"/>
          <w:i/>
          <w:iCs/>
        </w:rPr>
        <w:t>Fear and Loathing in Las Vegas</w:t>
      </w:r>
      <w:r>
        <w:rPr>
          <w:rFonts w:ascii="Times New Roman" w:hAnsi="Times New Roman"/>
        </w:rPr>
        <w:t xml:space="preserve"> (1971), Jay </w:t>
      </w:r>
      <w:proofErr w:type="spellStart"/>
      <w:r>
        <w:rPr>
          <w:rFonts w:ascii="Times New Roman" w:hAnsi="Times New Roman"/>
        </w:rPr>
        <w:t>McInerney's</w:t>
      </w:r>
      <w:proofErr w:type="spellEnd"/>
      <w:r>
        <w:rPr>
          <w:rFonts w:ascii="Times New Roman" w:hAnsi="Times New Roman"/>
        </w:rPr>
        <w:t xml:space="preserve"> </w:t>
      </w:r>
      <w:r>
        <w:rPr>
          <w:rFonts w:ascii="Times New Roman" w:hAnsi="Times New Roman"/>
          <w:i/>
          <w:iCs/>
        </w:rPr>
        <w:t>Bright Lights, Big City</w:t>
      </w:r>
      <w:r>
        <w:rPr>
          <w:rFonts w:ascii="Times New Roman" w:hAnsi="Times New Roman"/>
        </w:rPr>
        <w:t xml:space="preserve"> (1984), and Dave Eggers's </w:t>
      </w:r>
      <w:r>
        <w:rPr>
          <w:rFonts w:ascii="Times New Roman" w:hAnsi="Times New Roman"/>
          <w:i/>
          <w:iCs/>
        </w:rPr>
        <w:t>A Heartbreaking Work of Staggering Genius</w:t>
      </w:r>
      <w:r w:rsidR="001F3A8E">
        <w:rPr>
          <w:rFonts w:ascii="Times New Roman" w:hAnsi="Times New Roman"/>
        </w:rPr>
        <w:t xml:space="preserve"> (2000).</w:t>
      </w:r>
    </w:p>
  </w:footnote>
  <w:footnote w:id="3">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Salinger has conceded that </w:t>
      </w:r>
      <w:r>
        <w:rPr>
          <w:rFonts w:ascii="Times New Roman" w:hAnsi="Times New Roman"/>
          <w:i/>
          <w:iCs/>
        </w:rPr>
        <w:t>Catcher</w:t>
      </w:r>
      <w:r>
        <w:rPr>
          <w:rFonts w:ascii="Times New Roman" w:hAnsi="Times New Roman"/>
        </w:rPr>
        <w:t xml:space="preserve"> is "sort of" autobiographical. Paul Alexander, </w:t>
      </w:r>
      <w:r>
        <w:rPr>
          <w:rFonts w:ascii="Times New Roman" w:hAnsi="Times New Roman"/>
          <w:i/>
          <w:iCs/>
        </w:rPr>
        <w:t>Salinger: A Biography</w:t>
      </w:r>
      <w:r w:rsidR="001F3A8E">
        <w:rPr>
          <w:rFonts w:ascii="Times New Roman" w:hAnsi="Times New Roman"/>
        </w:rPr>
        <w:t xml:space="preserve"> 177-78 (1999).</w:t>
      </w:r>
    </w:p>
  </w:footnote>
  <w:footnote w:id="4">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Appellants concede that Mr. C is Holden Caulfield and that the unnamed author living in Cornish, New Hampshire </w:t>
      </w:r>
      <w:r w:rsidR="001F3A8E">
        <w:rPr>
          <w:rFonts w:ascii="Times New Roman" w:hAnsi="Times New Roman"/>
        </w:rPr>
        <w:t xml:space="preserve">is a "fictionalized Salinger." </w:t>
      </w:r>
    </w:p>
  </w:footnote>
  <w:footnote w:id="5">
    <w:p w:rsidR="00F57083"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The overwhelming majority of decisions addressing injunction motions have focused solely on whether the plaintiff has shown a likelihood of success on the merits and irreparable harm, rather than on balancing the hardships. </w:t>
      </w:r>
      <w:r>
        <w:rPr>
          <w:rFonts w:ascii="Times New Roman" w:hAnsi="Times New Roman"/>
          <w:i/>
          <w:iCs/>
        </w:rPr>
        <w:t>But see Random House, Inc. v. Rosetta Books L.L.C</w:t>
      </w:r>
      <w:r>
        <w:rPr>
          <w:rFonts w:ascii="Times New Roman" w:hAnsi="Times New Roman"/>
        </w:rPr>
        <w:t xml:space="preserve">., 283 F.3d 490, 492 (2d Cir. 2002) (considering the balance of hardships but finding the standard unsatisfied); </w:t>
      </w:r>
      <w:r>
        <w:rPr>
          <w:rFonts w:ascii="Times New Roman" w:hAnsi="Times New Roman"/>
          <w:i/>
          <w:iCs/>
        </w:rPr>
        <w:t>Consumers Union of U.S., Inc. v. Gen. Signal Corp</w:t>
      </w:r>
      <w:r>
        <w:rPr>
          <w:rFonts w:ascii="Times New Roman" w:hAnsi="Times New Roman"/>
        </w:rPr>
        <w:t>., 724 F.2d 1044, 1054 (2d Cir. 1983) (same).</w:t>
      </w:r>
    </w:p>
    <w:p w:rsidR="00F57083" w:rsidRDefault="00F57083" w:rsidP="001F3A8E">
      <w:pPr>
        <w:pStyle w:val="FootnoteText"/>
        <w:spacing w:after="120"/>
        <w:jc w:val="both"/>
      </w:pPr>
    </w:p>
  </w:footnote>
  <w:footnote w:id="6">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In </w:t>
      </w:r>
      <w:r>
        <w:rPr>
          <w:rFonts w:ascii="Times New Roman" w:hAnsi="Times New Roman"/>
          <w:i/>
          <w:iCs/>
        </w:rPr>
        <w:t>Time Warner Cable, Inc. v. DIRECTV, Inc</w:t>
      </w:r>
      <w:r>
        <w:rPr>
          <w:rFonts w:ascii="Times New Roman" w:hAnsi="Times New Roman"/>
        </w:rPr>
        <w:t xml:space="preserve">., 497 F.3d 144, 162 (2d Cir. 2007), this Court applied the </w:t>
      </w:r>
      <w:r>
        <w:rPr>
          <w:rFonts w:ascii="Times New Roman" w:hAnsi="Times New Roman"/>
          <w:i/>
          <w:iCs/>
        </w:rPr>
        <w:t>pre-eBay</w:t>
      </w:r>
      <w:r>
        <w:rPr>
          <w:rFonts w:ascii="Times New Roman" w:hAnsi="Times New Roman"/>
        </w:rPr>
        <w:t xml:space="preserve"> standard where the plaintiff sought a preliminary injunction claiming false advertising under the Lanham Act. But whether </w:t>
      </w:r>
      <w:r>
        <w:rPr>
          <w:rFonts w:ascii="Times New Roman" w:hAnsi="Times New Roman"/>
          <w:i/>
          <w:iCs/>
        </w:rPr>
        <w:t>eBay</w:t>
      </w:r>
      <w:r>
        <w:rPr>
          <w:rFonts w:ascii="Times New Roman" w:hAnsi="Times New Roman"/>
        </w:rPr>
        <w:t xml:space="preserve"> affected that standard was neither raised by the parties nor discussed by either the district court or this Court on appeal. Accordingly, </w:t>
      </w:r>
      <w:r>
        <w:rPr>
          <w:rFonts w:ascii="Times New Roman" w:hAnsi="Times New Roman"/>
          <w:i/>
          <w:iCs/>
        </w:rPr>
        <w:t>Time Warner Cable</w:t>
      </w:r>
      <w:r>
        <w:rPr>
          <w:rFonts w:ascii="Times New Roman" w:hAnsi="Times New Roman"/>
        </w:rPr>
        <w:t xml:space="preserve"> is not binding precedent on this issue.  Similarly, the Federal Circuit has, without discussion, applied a </w:t>
      </w:r>
      <w:r>
        <w:rPr>
          <w:rFonts w:ascii="Times New Roman" w:hAnsi="Times New Roman"/>
          <w:i/>
          <w:iCs/>
        </w:rPr>
        <w:t>pre-eBay</w:t>
      </w:r>
      <w:r>
        <w:rPr>
          <w:rFonts w:ascii="Times New Roman" w:hAnsi="Times New Roman"/>
        </w:rPr>
        <w:t xml:space="preserve"> standard in one </w:t>
      </w:r>
      <w:r>
        <w:rPr>
          <w:rFonts w:ascii="Times New Roman" w:hAnsi="Times New Roman"/>
          <w:i/>
          <w:iCs/>
        </w:rPr>
        <w:t>post-eBay</w:t>
      </w:r>
      <w:r>
        <w:rPr>
          <w:rFonts w:ascii="Times New Roman" w:hAnsi="Times New Roman"/>
        </w:rPr>
        <w:t xml:space="preserve"> copyright case involving a preliminary injun</w:t>
      </w:r>
      <w:r>
        <w:rPr>
          <w:rFonts w:ascii="Times New Roman" w:hAnsi="Times New Roman"/>
        </w:rPr>
        <w:t>c</w:t>
      </w:r>
      <w:r>
        <w:rPr>
          <w:rFonts w:ascii="Times New Roman" w:hAnsi="Times New Roman"/>
        </w:rPr>
        <w:t xml:space="preserve">tion. </w:t>
      </w:r>
      <w:r>
        <w:rPr>
          <w:rFonts w:ascii="Times New Roman" w:hAnsi="Times New Roman"/>
          <w:i/>
          <w:iCs/>
        </w:rPr>
        <w:t xml:space="preserve">Jacobsen v. </w:t>
      </w:r>
      <w:proofErr w:type="spellStart"/>
      <w:r>
        <w:rPr>
          <w:rFonts w:ascii="Times New Roman" w:hAnsi="Times New Roman"/>
          <w:i/>
          <w:iCs/>
        </w:rPr>
        <w:t>Katzer</w:t>
      </w:r>
      <w:proofErr w:type="spellEnd"/>
      <w:r>
        <w:rPr>
          <w:rFonts w:ascii="Times New Roman" w:hAnsi="Times New Roman"/>
        </w:rPr>
        <w:t>, 535 F.3d 1373, 1378 (Fed. Cir. 2008) (</w:t>
      </w:r>
      <w:proofErr w:type="gramStart"/>
      <w:r>
        <w:rPr>
          <w:rFonts w:ascii="Times New Roman" w:hAnsi="Times New Roman"/>
        </w:rPr>
        <w:t>applying</w:t>
      </w:r>
      <w:proofErr w:type="gramEnd"/>
      <w:r>
        <w:rPr>
          <w:rFonts w:ascii="Times New Roman" w:hAnsi="Times New Roman"/>
        </w:rPr>
        <w:t xml:space="preserve"> the Ninth Circuit's </w:t>
      </w:r>
      <w:r>
        <w:rPr>
          <w:rFonts w:ascii="Times New Roman" w:hAnsi="Times New Roman"/>
          <w:i/>
          <w:iCs/>
        </w:rPr>
        <w:t>pre-eBay</w:t>
      </w:r>
      <w:r>
        <w:rPr>
          <w:rFonts w:ascii="Times New Roman" w:hAnsi="Times New Roman"/>
        </w:rPr>
        <w:t xml:space="preserve"> standard); </w:t>
      </w:r>
      <w:r>
        <w:rPr>
          <w:rFonts w:ascii="Times New Roman" w:hAnsi="Times New Roman"/>
          <w:i/>
          <w:iCs/>
        </w:rPr>
        <w:t>see also Abercrombie &amp; Fitch Co. v. Moose Creek, Inc</w:t>
      </w:r>
      <w:r>
        <w:rPr>
          <w:rFonts w:ascii="Times New Roman" w:hAnsi="Times New Roman"/>
        </w:rPr>
        <w:t xml:space="preserve">., 486 F.3d 629, 633 (9th Cir. 2007) (applying the </w:t>
      </w:r>
      <w:r>
        <w:rPr>
          <w:rFonts w:ascii="Times New Roman" w:hAnsi="Times New Roman"/>
          <w:i/>
          <w:iCs/>
        </w:rPr>
        <w:t>pre-eBay</w:t>
      </w:r>
      <w:r>
        <w:rPr>
          <w:rFonts w:ascii="Times New Roman" w:hAnsi="Times New Roman"/>
        </w:rPr>
        <w:t xml:space="preserve"> standard, without discussion, in a preliminary injunction trademark case). By contrast, the First, Eleventh, and Fourth Circuits have applied </w:t>
      </w:r>
      <w:r>
        <w:rPr>
          <w:rFonts w:ascii="Times New Roman" w:hAnsi="Times New Roman"/>
          <w:i/>
          <w:iCs/>
        </w:rPr>
        <w:t>eBay</w:t>
      </w:r>
      <w:r>
        <w:rPr>
          <w:rFonts w:ascii="Times New Roman" w:hAnsi="Times New Roman"/>
        </w:rPr>
        <w:t xml:space="preserve"> in copyright cases. </w:t>
      </w:r>
      <w:proofErr w:type="gramStart"/>
      <w:r>
        <w:rPr>
          <w:rFonts w:ascii="Times New Roman" w:hAnsi="Times New Roman"/>
          <w:i/>
          <w:iCs/>
        </w:rPr>
        <w:t xml:space="preserve">See </w:t>
      </w:r>
      <w:proofErr w:type="spellStart"/>
      <w:r>
        <w:rPr>
          <w:rFonts w:ascii="Times New Roman" w:hAnsi="Times New Roman"/>
          <w:i/>
          <w:iCs/>
        </w:rPr>
        <w:t>CoxCom</w:t>
      </w:r>
      <w:proofErr w:type="spellEnd"/>
      <w:r>
        <w:rPr>
          <w:rFonts w:ascii="Times New Roman" w:hAnsi="Times New Roman"/>
          <w:i/>
          <w:iCs/>
        </w:rPr>
        <w:t>, Inc. v. Chaffee</w:t>
      </w:r>
      <w:r>
        <w:rPr>
          <w:rFonts w:ascii="Times New Roman" w:hAnsi="Times New Roman"/>
        </w:rPr>
        <w:t xml:space="preserve">, 536 F.3d 101, 112 (1st Cir. 2008); </w:t>
      </w:r>
      <w:r>
        <w:rPr>
          <w:rFonts w:ascii="Times New Roman" w:hAnsi="Times New Roman"/>
          <w:i/>
          <w:iCs/>
        </w:rPr>
        <w:t xml:space="preserve">Peter </w:t>
      </w:r>
      <w:proofErr w:type="spellStart"/>
      <w:r>
        <w:rPr>
          <w:rFonts w:ascii="Times New Roman" w:hAnsi="Times New Roman"/>
          <w:i/>
          <w:iCs/>
        </w:rPr>
        <w:t>Letterese</w:t>
      </w:r>
      <w:proofErr w:type="spellEnd"/>
      <w:r>
        <w:rPr>
          <w:rFonts w:ascii="Times New Roman" w:hAnsi="Times New Roman"/>
          <w:i/>
          <w:iCs/>
        </w:rPr>
        <w:t xml:space="preserve"> &amp; Assocs.</w:t>
      </w:r>
      <w:proofErr w:type="gramEnd"/>
      <w:r>
        <w:rPr>
          <w:rFonts w:ascii="Times New Roman" w:hAnsi="Times New Roman"/>
          <w:i/>
          <w:iCs/>
        </w:rPr>
        <w:t xml:space="preserve"> v. World Inst. of Scientology Enters. </w:t>
      </w:r>
      <w:proofErr w:type="gramStart"/>
      <w:r>
        <w:rPr>
          <w:rFonts w:ascii="Times New Roman" w:hAnsi="Times New Roman"/>
          <w:i/>
          <w:iCs/>
        </w:rPr>
        <w:t>Int'l</w:t>
      </w:r>
      <w:r>
        <w:rPr>
          <w:rFonts w:ascii="Times New Roman" w:hAnsi="Times New Roman"/>
        </w:rPr>
        <w:t xml:space="preserve">, 533 F.3d 1287, 1323 (11th Cir. 2008);  [*24] </w:t>
      </w:r>
      <w:r>
        <w:rPr>
          <w:rFonts w:ascii="Times New Roman" w:hAnsi="Times New Roman"/>
          <w:i/>
          <w:iCs/>
        </w:rPr>
        <w:t>Christopher Phelps &amp; Assocs.</w:t>
      </w:r>
      <w:proofErr w:type="gramEnd"/>
      <w:r>
        <w:rPr>
          <w:rFonts w:ascii="Times New Roman" w:hAnsi="Times New Roman"/>
          <w:i/>
          <w:iCs/>
        </w:rPr>
        <w:t xml:space="preserve"> v. Galloway</w:t>
      </w:r>
      <w:r>
        <w:rPr>
          <w:rFonts w:ascii="Times New Roman" w:hAnsi="Times New Roman"/>
        </w:rPr>
        <w:t xml:space="preserve">, 492 F.3d 532, 543 (4th Cir. 2007) ("The Supreme Court [in </w:t>
      </w:r>
      <w:r>
        <w:rPr>
          <w:rFonts w:ascii="Times New Roman" w:hAnsi="Times New Roman"/>
          <w:i/>
          <w:iCs/>
        </w:rPr>
        <w:t>eBay</w:t>
      </w:r>
      <w:r>
        <w:rPr>
          <w:rFonts w:ascii="Times New Roman" w:hAnsi="Times New Roman"/>
        </w:rPr>
        <w:t>] reaffirmed the traditional sho</w:t>
      </w:r>
      <w:r>
        <w:rPr>
          <w:rFonts w:ascii="Times New Roman" w:hAnsi="Times New Roman"/>
        </w:rPr>
        <w:t>w</w:t>
      </w:r>
      <w:r>
        <w:rPr>
          <w:rFonts w:ascii="Times New Roman" w:hAnsi="Times New Roman"/>
        </w:rPr>
        <w:t>ing that a plaintiff must make to obtain a permanent injunction in any type of case, including a</w:t>
      </w:r>
      <w:r w:rsidR="001F3A8E">
        <w:rPr>
          <w:rFonts w:ascii="Times New Roman" w:hAnsi="Times New Roman"/>
        </w:rPr>
        <w:t xml:space="preserve"> patent or copyright </w:t>
      </w:r>
      <w:proofErr w:type="gramStart"/>
      <w:r w:rsidR="001F3A8E">
        <w:rPr>
          <w:rFonts w:ascii="Times New Roman" w:hAnsi="Times New Roman"/>
        </w:rPr>
        <w:t>case[</w:t>
      </w:r>
      <w:proofErr w:type="gramEnd"/>
      <w:r w:rsidR="001F3A8E">
        <w:rPr>
          <w:rFonts w:ascii="Times New Roman" w:hAnsi="Times New Roman"/>
        </w:rPr>
        <w:t>.]").</w:t>
      </w:r>
    </w:p>
  </w:footnote>
  <w:footnote w:id="7">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Indeed, although our holding here is limited to preliminary injunctions in the context of copyright cases, </w:t>
      </w:r>
      <w:r>
        <w:rPr>
          <w:rFonts w:ascii="Times New Roman" w:hAnsi="Times New Roman"/>
          <w:i/>
          <w:iCs/>
        </w:rPr>
        <w:t>eBay's</w:t>
      </w:r>
      <w:r>
        <w:rPr>
          <w:rFonts w:ascii="Times New Roman" w:hAnsi="Times New Roman"/>
        </w:rPr>
        <w:t xml:space="preserve"> ce</w:t>
      </w:r>
      <w:r>
        <w:rPr>
          <w:rFonts w:ascii="Times New Roman" w:hAnsi="Times New Roman"/>
        </w:rPr>
        <w:t>n</w:t>
      </w:r>
      <w:r>
        <w:rPr>
          <w:rFonts w:ascii="Times New Roman" w:hAnsi="Times New Roman"/>
        </w:rPr>
        <w:t xml:space="preserve">tral lesson is that, unless Congress intended a "major departure from the long tradition of equity practice," a court  [*26] deciding whether to issue an injunction must not adopt "categorical" or "general" rules or presume that a party has met an element of the injunction standard. Therefore, although today we are not called upon to extend </w:t>
      </w:r>
      <w:r>
        <w:rPr>
          <w:rFonts w:ascii="Times New Roman" w:hAnsi="Times New Roman"/>
          <w:i/>
          <w:iCs/>
        </w:rPr>
        <w:t>eBay</w:t>
      </w:r>
      <w:r>
        <w:rPr>
          <w:rFonts w:ascii="Times New Roman" w:hAnsi="Times New Roman"/>
        </w:rPr>
        <w:t xml:space="preserve"> beyond the co</w:t>
      </w:r>
      <w:r>
        <w:rPr>
          <w:rFonts w:ascii="Times New Roman" w:hAnsi="Times New Roman"/>
        </w:rPr>
        <w:t>n</w:t>
      </w:r>
      <w:r>
        <w:rPr>
          <w:rFonts w:ascii="Times New Roman" w:hAnsi="Times New Roman"/>
        </w:rPr>
        <w:t xml:space="preserve">text of copyright cases, we see no reason that </w:t>
      </w:r>
      <w:r>
        <w:rPr>
          <w:rFonts w:ascii="Times New Roman" w:hAnsi="Times New Roman"/>
          <w:i/>
          <w:iCs/>
        </w:rPr>
        <w:t>eBay</w:t>
      </w:r>
      <w:r>
        <w:rPr>
          <w:rFonts w:ascii="Times New Roman" w:hAnsi="Times New Roman"/>
        </w:rPr>
        <w:t xml:space="preserve"> would not apply with equal force to an injunction in </w:t>
      </w:r>
      <w:r>
        <w:rPr>
          <w:rFonts w:ascii="Times New Roman" w:hAnsi="Times New Roman"/>
          <w:i/>
          <w:iCs/>
        </w:rPr>
        <w:t>any</w:t>
      </w:r>
      <w:r w:rsidR="001F3A8E">
        <w:rPr>
          <w:rFonts w:ascii="Times New Roman" w:hAnsi="Times New Roman"/>
        </w:rPr>
        <w:t xml:space="preserve"> type of case.</w:t>
      </w:r>
    </w:p>
  </w:footnote>
  <w:footnote w:id="8">
    <w:p w:rsidR="00F57083" w:rsidRPr="001F3A8E" w:rsidRDefault="00F57083" w:rsidP="001F3A8E">
      <w:pPr>
        <w:widowControl/>
        <w:spacing w:after="120"/>
        <w:jc w:val="both"/>
        <w:rPr>
          <w:rFonts w:ascii="Times New Roman" w:hAnsi="Times New Roman"/>
        </w:rPr>
      </w:pPr>
      <w:r>
        <w:rPr>
          <w:rStyle w:val="FootnoteReference"/>
        </w:rPr>
        <w:footnoteRef/>
      </w:r>
      <w:r>
        <w:t xml:space="preserve"> T</w:t>
      </w:r>
      <w:r>
        <w:rPr>
          <w:rFonts w:ascii="Times New Roman" w:hAnsi="Times New Roman"/>
        </w:rPr>
        <w:t xml:space="preserve">his Court has rarely considered the public's interest before deciding whether an injunction should issue. Although decisions have referenced the public's interest in passing, the public's interest has not in the past been a formal factor in this Court's standard for when </w:t>
      </w:r>
      <w:r w:rsidR="001F3A8E">
        <w:rPr>
          <w:rFonts w:ascii="Times New Roman" w:hAnsi="Times New Roman"/>
        </w:rPr>
        <w:t>to issue copyright injunctions.</w:t>
      </w:r>
    </w:p>
  </w:footnote>
  <w:footnote w:id="9">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As Judge </w:t>
      </w:r>
      <w:proofErr w:type="spellStart"/>
      <w:r>
        <w:rPr>
          <w:rFonts w:ascii="Times New Roman" w:hAnsi="Times New Roman"/>
        </w:rPr>
        <w:t>Leval</w:t>
      </w:r>
      <w:proofErr w:type="spellEnd"/>
      <w:r>
        <w:rPr>
          <w:rFonts w:ascii="Times New Roman" w:hAnsi="Times New Roman"/>
        </w:rPr>
        <w:t xml:space="preserve"> noted in </w:t>
      </w:r>
      <w:r>
        <w:rPr>
          <w:rFonts w:ascii="Times New Roman" w:hAnsi="Times New Roman"/>
          <w:i/>
          <w:iCs/>
        </w:rPr>
        <w:t xml:space="preserve">New Era Publications International </w:t>
      </w:r>
      <w:proofErr w:type="spellStart"/>
      <w:r>
        <w:rPr>
          <w:rFonts w:ascii="Times New Roman" w:hAnsi="Times New Roman"/>
          <w:i/>
          <w:iCs/>
        </w:rPr>
        <w:t>ApS</w:t>
      </w:r>
      <w:proofErr w:type="spellEnd"/>
      <w:r>
        <w:rPr>
          <w:rFonts w:ascii="Times New Roman" w:hAnsi="Times New Roman"/>
          <w:i/>
          <w:iCs/>
        </w:rPr>
        <w:t xml:space="preserve"> v. Henry Holt &amp; Co</w:t>
      </w:r>
      <w:r>
        <w:rPr>
          <w:rFonts w:ascii="Times New Roman" w:hAnsi="Times New Roman"/>
        </w:rPr>
        <w:t>., "the justification of the cop</w:t>
      </w:r>
      <w:r>
        <w:rPr>
          <w:rFonts w:ascii="Times New Roman" w:hAnsi="Times New Roman"/>
        </w:rPr>
        <w:t>y</w:t>
      </w:r>
      <w:r>
        <w:rPr>
          <w:rFonts w:ascii="Times New Roman" w:hAnsi="Times New Roman"/>
        </w:rPr>
        <w:t xml:space="preserve">right law is the protection of the </w:t>
      </w:r>
      <w:r>
        <w:rPr>
          <w:rFonts w:ascii="Times New Roman" w:hAnsi="Times New Roman"/>
          <w:i/>
          <w:iCs/>
        </w:rPr>
        <w:t>commercial</w:t>
      </w:r>
      <w:r>
        <w:rPr>
          <w:rFonts w:ascii="Times New Roman" w:hAnsi="Times New Roman"/>
        </w:rPr>
        <w:t xml:space="preserve"> interest of the artist/author. It is not to coddle artistic vanity or to protect secrecy, but to stimulate creation by protecting its rewards." </w:t>
      </w:r>
      <w:proofErr w:type="gramStart"/>
      <w:r>
        <w:rPr>
          <w:rFonts w:ascii="Times New Roman" w:hAnsi="Times New Roman"/>
        </w:rPr>
        <w:t>695 F. Supp. 1493, 1526 (S.D.N.Y. 1988).</w:t>
      </w:r>
      <w:proofErr w:type="gramEnd"/>
    </w:p>
  </w:footnote>
  <w:footnote w:id="10">
    <w:p w:rsidR="00F57083" w:rsidRPr="001F3A8E"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i/>
          <w:iCs/>
        </w:rPr>
        <w:t>But cf. Freedman v. Maryland</w:t>
      </w:r>
      <w:r>
        <w:rPr>
          <w:rFonts w:ascii="Times New Roman" w:hAnsi="Times New Roman"/>
        </w:rPr>
        <w:t>, 380 U.S. 51, 59 (1965) (finding permissible pre-adjudication restraint where, among other things, the time between the restraint and th</w:t>
      </w:r>
      <w:r w:rsidR="001F3A8E">
        <w:rPr>
          <w:rFonts w:ascii="Times New Roman" w:hAnsi="Times New Roman"/>
        </w:rPr>
        <w:t>e final adjudication is brief).</w:t>
      </w:r>
    </w:p>
  </w:footnote>
  <w:footnote w:id="11">
    <w:p w:rsidR="00F57083" w:rsidRDefault="00F57083" w:rsidP="001F3A8E">
      <w:pPr>
        <w:pStyle w:val="FootnoteText"/>
        <w:spacing w:after="120"/>
        <w:jc w:val="both"/>
      </w:pPr>
      <w:r>
        <w:rPr>
          <w:rStyle w:val="FootnoteReference"/>
        </w:rPr>
        <w:footnoteRef/>
      </w:r>
      <w:r>
        <w:t xml:space="preserve"> </w:t>
      </w:r>
      <w:r>
        <w:rPr>
          <w:rFonts w:ascii="Times New Roman" w:hAnsi="Times New Roman"/>
        </w:rPr>
        <w:t>We find it unnecessary to decide whether Salinger owns a valid copyright in the character Holden Caulfield.</w:t>
      </w:r>
    </w:p>
  </w:footnote>
  <w:footnote w:id="12">
    <w:p w:rsidR="00F57083" w:rsidRDefault="00F57083" w:rsidP="001F3A8E">
      <w:pPr>
        <w:widowControl/>
        <w:spacing w:after="120"/>
        <w:jc w:val="both"/>
        <w:rPr>
          <w:rFonts w:ascii="Times New Roman" w:hAnsi="Times New Roman"/>
        </w:rPr>
      </w:pPr>
      <w:r>
        <w:rPr>
          <w:rStyle w:val="FootnoteReference"/>
        </w:rPr>
        <w:footnoteRef/>
      </w:r>
      <w:r>
        <w:t xml:space="preserve"> </w:t>
      </w:r>
      <w:r>
        <w:rPr>
          <w:rFonts w:ascii="Times New Roman" w:hAnsi="Times New Roman"/>
        </w:rPr>
        <w:t>As noted above, since the commencement of these proceedings, Plaintiff-</w:t>
      </w:r>
      <w:proofErr w:type="spellStart"/>
      <w:r>
        <w:rPr>
          <w:rFonts w:ascii="Times New Roman" w:hAnsi="Times New Roman"/>
        </w:rPr>
        <w:t>Appellee</w:t>
      </w:r>
      <w:proofErr w:type="spellEnd"/>
      <w:r>
        <w:rPr>
          <w:rFonts w:ascii="Times New Roman" w:hAnsi="Times New Roman"/>
        </w:rPr>
        <w:t xml:space="preserve"> J.D. Salinger has died.  [*41] On remand, nothing precludes the District Court from considering that or any other additional evidence that may bear on the legal issues to be determined with respect to the preliminary injunction and the final merits. Moreover, while we are remanding for further consideration of a preliminary injunction, we wish to make clear that nothing we have said is i</w:t>
      </w:r>
      <w:r>
        <w:rPr>
          <w:rFonts w:ascii="Times New Roman" w:hAnsi="Times New Roman"/>
        </w:rPr>
        <w:t>n</w:t>
      </w:r>
      <w:r>
        <w:rPr>
          <w:rFonts w:ascii="Times New Roman" w:hAnsi="Times New Roman"/>
        </w:rPr>
        <w:t>tended to preclude the District Court on remand from consolidating its further consideration of the preliminary injun</w:t>
      </w:r>
      <w:r>
        <w:rPr>
          <w:rFonts w:ascii="Times New Roman" w:hAnsi="Times New Roman"/>
        </w:rPr>
        <w:t>c</w:t>
      </w:r>
      <w:r>
        <w:rPr>
          <w:rFonts w:ascii="Times New Roman" w:hAnsi="Times New Roman"/>
        </w:rPr>
        <w:t xml:space="preserve">tion application with the trial on the merits. </w:t>
      </w:r>
      <w:r>
        <w:rPr>
          <w:rFonts w:ascii="Times New Roman" w:hAnsi="Times New Roman"/>
          <w:i/>
          <w:iCs/>
        </w:rPr>
        <w:t>See</w:t>
      </w:r>
      <w:r>
        <w:rPr>
          <w:rFonts w:ascii="Times New Roman" w:hAnsi="Times New Roman"/>
        </w:rPr>
        <w:t xml:space="preserve"> Fed. R. Civ. P. 65(a)(2).</w:t>
      </w:r>
    </w:p>
    <w:p w:rsidR="00F57083" w:rsidRDefault="00F57083">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83" w:rsidRDefault="00F5708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57D0E"/>
    <w:rsid w:val="00022CC9"/>
    <w:rsid w:val="00057D0E"/>
    <w:rsid w:val="000C59F7"/>
    <w:rsid w:val="001F3A8E"/>
    <w:rsid w:val="005100D5"/>
    <w:rsid w:val="00606DED"/>
    <w:rsid w:val="0063771C"/>
    <w:rsid w:val="00781D17"/>
    <w:rsid w:val="007973AD"/>
    <w:rsid w:val="007E6620"/>
    <w:rsid w:val="00843ED9"/>
    <w:rsid w:val="008D6221"/>
    <w:rsid w:val="009026E7"/>
    <w:rsid w:val="0093121A"/>
    <w:rsid w:val="009673E9"/>
    <w:rsid w:val="00977A9B"/>
    <w:rsid w:val="009D4400"/>
    <w:rsid w:val="00A859E4"/>
    <w:rsid w:val="00AC223E"/>
    <w:rsid w:val="00B914F8"/>
    <w:rsid w:val="00D114BE"/>
    <w:rsid w:val="00E5396D"/>
    <w:rsid w:val="00E7286E"/>
    <w:rsid w:val="00F57083"/>
    <w:rsid w:val="00F605BA"/>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00"/>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6DED"/>
    <w:pPr>
      <w:tabs>
        <w:tab w:val="center" w:pos="4680"/>
        <w:tab w:val="right" w:pos="9360"/>
      </w:tabs>
    </w:pPr>
  </w:style>
  <w:style w:type="character" w:customStyle="1" w:styleId="HeaderChar">
    <w:name w:val="Header Char"/>
    <w:basedOn w:val="DefaultParagraphFont"/>
    <w:link w:val="Header"/>
    <w:uiPriority w:val="99"/>
    <w:semiHidden/>
    <w:rsid w:val="00606DED"/>
    <w:rPr>
      <w:rFonts w:ascii="Courier" w:hAnsi="Courier"/>
    </w:rPr>
  </w:style>
  <w:style w:type="paragraph" w:styleId="Footer">
    <w:name w:val="footer"/>
    <w:basedOn w:val="Normal"/>
    <w:link w:val="FooterChar"/>
    <w:uiPriority w:val="99"/>
    <w:unhideWhenUsed/>
    <w:rsid w:val="00606DED"/>
    <w:pPr>
      <w:tabs>
        <w:tab w:val="center" w:pos="4680"/>
        <w:tab w:val="right" w:pos="9360"/>
      </w:tabs>
    </w:pPr>
  </w:style>
  <w:style w:type="character" w:customStyle="1" w:styleId="FooterChar">
    <w:name w:val="Footer Char"/>
    <w:basedOn w:val="DefaultParagraphFont"/>
    <w:link w:val="Footer"/>
    <w:uiPriority w:val="99"/>
    <w:rsid w:val="00606DED"/>
    <w:rPr>
      <w:rFonts w:ascii="Courier" w:hAnsi="Courier"/>
    </w:rPr>
  </w:style>
  <w:style w:type="paragraph" w:styleId="FootnoteText">
    <w:name w:val="footnote text"/>
    <w:basedOn w:val="Normal"/>
    <w:link w:val="FootnoteTextChar"/>
    <w:uiPriority w:val="99"/>
    <w:semiHidden/>
    <w:unhideWhenUsed/>
    <w:rsid w:val="00606DED"/>
  </w:style>
  <w:style w:type="character" w:customStyle="1" w:styleId="FootnoteTextChar">
    <w:name w:val="Footnote Text Char"/>
    <w:basedOn w:val="DefaultParagraphFont"/>
    <w:link w:val="FootnoteText"/>
    <w:uiPriority w:val="99"/>
    <w:semiHidden/>
    <w:rsid w:val="00606DED"/>
    <w:rPr>
      <w:rFonts w:ascii="Courier" w:hAnsi="Courier"/>
    </w:rPr>
  </w:style>
  <w:style w:type="character" w:styleId="FootnoteReference">
    <w:name w:val="footnote reference"/>
    <w:basedOn w:val="DefaultParagraphFont"/>
    <w:uiPriority w:val="99"/>
    <w:semiHidden/>
    <w:unhideWhenUsed/>
    <w:rsid w:val="00606DE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366D-DF80-4D41-AE02-C2A36809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5063</Words>
  <Characters>28863</Characters>
  <Application>Microsoft Macintosh Word</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cp:lastModifiedBy>Berkman Center</cp:lastModifiedBy>
  <cp:revision>7</cp:revision>
  <dcterms:created xsi:type="dcterms:W3CDTF">2010-11-13T19:21:00Z</dcterms:created>
  <dcterms:modified xsi:type="dcterms:W3CDTF">2010-11-13T22:51:00Z</dcterms:modified>
</cp:coreProperties>
</file>