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38" w:rsidRPr="00B30DB2" w:rsidRDefault="00C87686" w:rsidP="00C07AF4">
      <w:pPr>
        <w:widowControl/>
        <w:ind w:left="1200" w:right="1200"/>
        <w:jc w:val="center"/>
        <w:rPr>
          <w:rFonts w:ascii="Times New Roman" w:hAnsi="Times New Roman"/>
          <w:b/>
          <w:bCs/>
          <w:sz w:val="24"/>
          <w:szCs w:val="24"/>
        </w:rPr>
      </w:pPr>
      <w:r w:rsidRPr="00B30DB2">
        <w:rPr>
          <w:rFonts w:ascii="Times New Roman" w:hAnsi="Times New Roman"/>
          <w:b/>
          <w:bCs/>
          <w:sz w:val="24"/>
          <w:szCs w:val="24"/>
        </w:rPr>
        <w:t>FRANK MUSIC CORP</w:t>
      </w:r>
      <w:r w:rsidR="00C07AF4">
        <w:rPr>
          <w:rFonts w:ascii="Times New Roman" w:hAnsi="Times New Roman"/>
          <w:b/>
          <w:bCs/>
          <w:sz w:val="24"/>
          <w:szCs w:val="24"/>
        </w:rPr>
        <w:t>.</w:t>
      </w:r>
      <w:r w:rsidRPr="00B30DB2">
        <w:rPr>
          <w:rFonts w:ascii="Times New Roman" w:hAnsi="Times New Roman"/>
          <w:b/>
          <w:bCs/>
          <w:sz w:val="24"/>
          <w:szCs w:val="24"/>
        </w:rPr>
        <w:t xml:space="preserve"> v. METRO-GOLDWYN-MAYER, INC</w:t>
      </w:r>
      <w:r w:rsidR="00C07AF4">
        <w:rPr>
          <w:rFonts w:ascii="Times New Roman" w:hAnsi="Times New Roman"/>
          <w:b/>
          <w:bCs/>
          <w:sz w:val="24"/>
          <w:szCs w:val="24"/>
        </w:rPr>
        <w:t>.</w:t>
      </w:r>
    </w:p>
    <w:p w:rsidR="00406238" w:rsidRPr="00B30DB2" w:rsidRDefault="00406238">
      <w:pPr>
        <w:widowControl/>
        <w:rPr>
          <w:rFonts w:ascii="Times New Roman" w:hAnsi="Times New Roman"/>
          <w:b/>
          <w:bCs/>
          <w:sz w:val="24"/>
          <w:szCs w:val="24"/>
        </w:rPr>
      </w:pPr>
    </w:p>
    <w:p w:rsidR="00C07AF4" w:rsidRDefault="00C87686">
      <w:pPr>
        <w:widowControl/>
        <w:ind w:left="1200" w:right="1200"/>
        <w:jc w:val="center"/>
        <w:rPr>
          <w:rFonts w:ascii="Times New Roman" w:hAnsi="Times New Roman"/>
          <w:b/>
          <w:bCs/>
          <w:sz w:val="24"/>
          <w:szCs w:val="24"/>
        </w:rPr>
      </w:pPr>
      <w:r w:rsidRPr="00B30DB2">
        <w:rPr>
          <w:rFonts w:ascii="Times New Roman" w:hAnsi="Times New Roman"/>
          <w:b/>
          <w:bCs/>
          <w:sz w:val="24"/>
          <w:szCs w:val="24"/>
        </w:rPr>
        <w:t>886 F.2d 1545</w:t>
      </w:r>
      <w:r w:rsidR="00C07AF4">
        <w:rPr>
          <w:rFonts w:ascii="Times New Roman" w:hAnsi="Times New Roman"/>
          <w:b/>
          <w:bCs/>
          <w:sz w:val="24"/>
          <w:szCs w:val="24"/>
        </w:rPr>
        <w:t xml:space="preserve"> (9</w:t>
      </w:r>
      <w:r w:rsidR="00C07AF4" w:rsidRPr="00C07AF4">
        <w:rPr>
          <w:rFonts w:ascii="Times New Roman" w:hAnsi="Times New Roman"/>
          <w:b/>
          <w:bCs/>
          <w:sz w:val="24"/>
          <w:szCs w:val="24"/>
          <w:vertAlign w:val="superscript"/>
        </w:rPr>
        <w:t>th</w:t>
      </w:r>
      <w:r w:rsidR="00C07AF4">
        <w:rPr>
          <w:rFonts w:ascii="Times New Roman" w:hAnsi="Times New Roman"/>
          <w:b/>
          <w:bCs/>
          <w:sz w:val="24"/>
          <w:szCs w:val="24"/>
        </w:rPr>
        <w:t xml:space="preserve"> Cir. 1989)</w:t>
      </w:r>
    </w:p>
    <w:p w:rsidR="00406238" w:rsidRPr="00B30DB2" w:rsidRDefault="00406238">
      <w:pPr>
        <w:widowControl/>
        <w:rPr>
          <w:rFonts w:ascii="Times New Roman" w:hAnsi="Times New Roman"/>
          <w:b/>
          <w:bCs/>
          <w:sz w:val="24"/>
          <w:szCs w:val="24"/>
        </w:rPr>
      </w:pPr>
    </w:p>
    <w:p w:rsidR="00406238" w:rsidRPr="00B30DB2" w:rsidRDefault="00C87686" w:rsidP="00C07AF4">
      <w:pPr>
        <w:widowControl/>
        <w:spacing w:before="120"/>
        <w:jc w:val="both"/>
        <w:rPr>
          <w:rFonts w:ascii="Times New Roman" w:hAnsi="Times New Roman"/>
          <w:sz w:val="24"/>
          <w:szCs w:val="24"/>
        </w:rPr>
      </w:pPr>
      <w:r w:rsidRPr="00B30DB2">
        <w:rPr>
          <w:rFonts w:ascii="Times New Roman" w:hAnsi="Times New Roman"/>
          <w:sz w:val="24"/>
          <w:szCs w:val="24"/>
        </w:rPr>
        <w:t xml:space="preserve">BETTY B. FLETCHER, Circuit Judge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In </w:t>
      </w:r>
      <w:r w:rsidRPr="00B30DB2">
        <w:rPr>
          <w:rFonts w:ascii="Times New Roman" w:hAnsi="Times New Roman"/>
          <w:i/>
          <w:iCs/>
          <w:sz w:val="24"/>
          <w:szCs w:val="24"/>
        </w:rPr>
        <w:t>Frank Music Corp. v. Metro-Goldwyn-Mayer Inc.</w:t>
      </w:r>
      <w:r w:rsidRPr="00B30DB2">
        <w:rPr>
          <w:rFonts w:ascii="Times New Roman" w:hAnsi="Times New Roman"/>
          <w:sz w:val="24"/>
          <w:szCs w:val="24"/>
        </w:rPr>
        <w:t>, 772 F.2d 505 (9th Cir. 1985) (</w:t>
      </w:r>
      <w:r w:rsidRPr="00B30DB2">
        <w:rPr>
          <w:rFonts w:ascii="Times New Roman" w:hAnsi="Times New Roman"/>
          <w:i/>
          <w:iCs/>
          <w:sz w:val="24"/>
          <w:szCs w:val="24"/>
        </w:rPr>
        <w:t>Frank M</w:t>
      </w:r>
      <w:r w:rsidRPr="00B30DB2">
        <w:rPr>
          <w:rFonts w:ascii="Times New Roman" w:hAnsi="Times New Roman"/>
          <w:i/>
          <w:iCs/>
          <w:sz w:val="24"/>
          <w:szCs w:val="24"/>
        </w:rPr>
        <w:t>u</w:t>
      </w:r>
      <w:r w:rsidRPr="00B30DB2">
        <w:rPr>
          <w:rFonts w:ascii="Times New Roman" w:hAnsi="Times New Roman"/>
          <w:i/>
          <w:iCs/>
          <w:sz w:val="24"/>
          <w:szCs w:val="24"/>
        </w:rPr>
        <w:t>sic I</w:t>
      </w:r>
      <w:r w:rsidRPr="00B30DB2">
        <w:rPr>
          <w:rFonts w:ascii="Times New Roman" w:hAnsi="Times New Roman"/>
          <w:sz w:val="24"/>
          <w:szCs w:val="24"/>
        </w:rPr>
        <w:t xml:space="preserve">), we affirmed the district court's holding that defendants infringed plaintiffs' copyright in the </w:t>
      </w:r>
      <w:proofErr w:type="spellStart"/>
      <w:r w:rsidRPr="00B30DB2">
        <w:rPr>
          <w:rFonts w:ascii="Times New Roman" w:hAnsi="Times New Roman"/>
          <w:sz w:val="24"/>
          <w:szCs w:val="24"/>
        </w:rPr>
        <w:t>dramatico</w:t>
      </w:r>
      <w:proofErr w:type="spellEnd"/>
      <w:r w:rsidRPr="00B30DB2">
        <w:rPr>
          <w:rFonts w:ascii="Times New Roman" w:hAnsi="Times New Roman"/>
          <w:sz w:val="24"/>
          <w:szCs w:val="24"/>
        </w:rPr>
        <w:t xml:space="preserve">-musical play </w:t>
      </w:r>
      <w:r w:rsidRPr="00B30DB2">
        <w:rPr>
          <w:rFonts w:ascii="Times New Roman" w:hAnsi="Times New Roman"/>
          <w:i/>
          <w:iCs/>
          <w:sz w:val="24"/>
          <w:szCs w:val="24"/>
        </w:rPr>
        <w:t>Kismet</w:t>
      </w:r>
      <w:r w:rsidRPr="00B30DB2">
        <w:rPr>
          <w:rFonts w:ascii="Times New Roman" w:hAnsi="Times New Roman"/>
          <w:sz w:val="24"/>
          <w:szCs w:val="24"/>
        </w:rPr>
        <w:t>, but remanded for reconsideration of the amount of profits attribu</w:t>
      </w:r>
      <w:r w:rsidRPr="00B30DB2">
        <w:rPr>
          <w:rFonts w:ascii="Times New Roman" w:hAnsi="Times New Roman"/>
          <w:sz w:val="24"/>
          <w:szCs w:val="24"/>
        </w:rPr>
        <w:t>t</w:t>
      </w:r>
      <w:r w:rsidRPr="00B30DB2">
        <w:rPr>
          <w:rFonts w:ascii="Times New Roman" w:hAnsi="Times New Roman"/>
          <w:sz w:val="24"/>
          <w:szCs w:val="24"/>
        </w:rPr>
        <w:t xml:space="preserve">able to the infringement and for consideration of whether defendants </w:t>
      </w:r>
      <w:proofErr w:type="spellStart"/>
      <w:r w:rsidRPr="00B30DB2">
        <w:rPr>
          <w:rFonts w:ascii="Times New Roman" w:hAnsi="Times New Roman"/>
          <w:sz w:val="24"/>
          <w:szCs w:val="24"/>
        </w:rPr>
        <w:t>Donn</w:t>
      </w:r>
      <w:proofErr w:type="spellEnd"/>
      <w:r w:rsidRPr="00B30DB2">
        <w:rPr>
          <w:rFonts w:ascii="Times New Roman" w:hAnsi="Times New Roman"/>
          <w:sz w:val="24"/>
          <w:szCs w:val="24"/>
        </w:rPr>
        <w:t xml:space="preserve"> Arden and Metro-Goldwyn-Mayer, Inc. (MGM, Inc.) should be liable in addition to MGM Grand Hotel, Inc</w:t>
      </w:r>
      <w:proofErr w:type="gramStart"/>
      <w:r w:rsidRPr="00B30DB2">
        <w:rPr>
          <w:rFonts w:ascii="Times New Roman" w:hAnsi="Times New Roman"/>
          <w:sz w:val="24"/>
          <w:szCs w:val="24"/>
        </w:rPr>
        <w:t>..</w:t>
      </w:r>
      <w:proofErr w:type="gramEnd"/>
      <w:r w:rsidR="00C07AF4">
        <w:rPr>
          <w:rFonts w:ascii="Times New Roman" w:hAnsi="Times New Roman"/>
          <w:sz w:val="24"/>
          <w:szCs w:val="24"/>
        </w:rPr>
        <w:t xml:space="preserve"> </w:t>
      </w:r>
      <w:r w:rsidRPr="00B30DB2">
        <w:rPr>
          <w:rFonts w:ascii="Times New Roman" w:hAnsi="Times New Roman"/>
          <w:sz w:val="24"/>
          <w:szCs w:val="24"/>
        </w:rPr>
        <w:t xml:space="preserve"> On r</w:t>
      </w:r>
      <w:r w:rsidRPr="00B30DB2">
        <w:rPr>
          <w:rFonts w:ascii="Times New Roman" w:hAnsi="Times New Roman"/>
          <w:sz w:val="24"/>
          <w:szCs w:val="24"/>
        </w:rPr>
        <w:t>e</w:t>
      </w:r>
      <w:r w:rsidRPr="00B30DB2">
        <w:rPr>
          <w:rFonts w:ascii="Times New Roman" w:hAnsi="Times New Roman"/>
          <w:sz w:val="24"/>
          <w:szCs w:val="24"/>
        </w:rPr>
        <w:t>mand, the dist</w:t>
      </w:r>
      <w:r w:rsidR="00C07AF4">
        <w:rPr>
          <w:rFonts w:ascii="Times New Roman" w:hAnsi="Times New Roman"/>
          <w:sz w:val="24"/>
          <w:szCs w:val="24"/>
        </w:rPr>
        <w:t>rict court awarded plaintiffs $</w:t>
      </w:r>
      <w:r w:rsidRPr="00B30DB2">
        <w:rPr>
          <w:rFonts w:ascii="Times New Roman" w:hAnsi="Times New Roman"/>
          <w:sz w:val="24"/>
          <w:szCs w:val="24"/>
        </w:rPr>
        <w:t xml:space="preserve">343,724 against MGM Grand, dismissed the action against MGM, Inc. and Arden, and awarded plaintiffs $15,000 in attorney's fees. </w:t>
      </w:r>
      <w:proofErr w:type="gramStart"/>
      <w:r w:rsidRPr="00B30DB2">
        <w:rPr>
          <w:rFonts w:ascii="Times New Roman" w:hAnsi="Times New Roman"/>
          <w:sz w:val="24"/>
          <w:szCs w:val="24"/>
        </w:rPr>
        <w:t>Plai</w:t>
      </w:r>
      <w:r w:rsidRPr="00B30DB2">
        <w:rPr>
          <w:rFonts w:ascii="Times New Roman" w:hAnsi="Times New Roman"/>
          <w:sz w:val="24"/>
          <w:szCs w:val="24"/>
        </w:rPr>
        <w:t>n</w:t>
      </w:r>
      <w:r w:rsidRPr="00B30DB2">
        <w:rPr>
          <w:rFonts w:ascii="Times New Roman" w:hAnsi="Times New Roman"/>
          <w:sz w:val="24"/>
          <w:szCs w:val="24"/>
        </w:rPr>
        <w:t>tiffs appeal and defendants cross-appeal.</w:t>
      </w:r>
      <w:proofErr w:type="gramEnd"/>
      <w:r w:rsidRPr="00B30DB2">
        <w:rPr>
          <w:rFonts w:ascii="Times New Roman" w:hAnsi="Times New Roman"/>
          <w:sz w:val="24"/>
          <w:szCs w:val="24"/>
        </w:rPr>
        <w:t xml:space="preserve"> We affirm in part, reverse in part, and remand. </w:t>
      </w:r>
    </w:p>
    <w:p w:rsidR="00406238" w:rsidRPr="00B30DB2" w:rsidRDefault="00406238" w:rsidP="00C07AF4">
      <w:pPr>
        <w:widowControl/>
        <w:jc w:val="both"/>
        <w:rPr>
          <w:rFonts w:ascii="Times New Roman" w:hAnsi="Times New Roman"/>
          <w:sz w:val="24"/>
          <w:szCs w:val="24"/>
        </w:rPr>
      </w:pPr>
    </w:p>
    <w:p w:rsidR="00406238" w:rsidRPr="00B30DB2" w:rsidRDefault="00C87686" w:rsidP="00C07AF4">
      <w:pPr>
        <w:widowControl/>
        <w:jc w:val="center"/>
        <w:rPr>
          <w:rFonts w:ascii="Times New Roman" w:hAnsi="Times New Roman"/>
          <w:sz w:val="24"/>
          <w:szCs w:val="24"/>
        </w:rPr>
      </w:pPr>
      <w:r w:rsidRPr="00B30DB2">
        <w:rPr>
          <w:rFonts w:ascii="Times New Roman" w:hAnsi="Times New Roman"/>
          <w:sz w:val="24"/>
          <w:szCs w:val="24"/>
        </w:rPr>
        <w:t>I.  FACTS.</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The facts are fully set out in </w:t>
      </w:r>
      <w:r w:rsidRPr="00B30DB2">
        <w:rPr>
          <w:rFonts w:ascii="Times New Roman" w:hAnsi="Times New Roman"/>
          <w:i/>
          <w:iCs/>
          <w:sz w:val="24"/>
          <w:szCs w:val="24"/>
        </w:rPr>
        <w:t>Frank Music I</w:t>
      </w:r>
      <w:r w:rsidRPr="00B30DB2">
        <w:rPr>
          <w:rFonts w:ascii="Times New Roman" w:hAnsi="Times New Roman"/>
          <w:sz w:val="24"/>
          <w:szCs w:val="24"/>
        </w:rPr>
        <w:t xml:space="preserve">. We reiterate only selectively. Plaintiffs are the copyright owners and authors of </w:t>
      </w:r>
      <w:r w:rsidRPr="00B30DB2">
        <w:rPr>
          <w:rFonts w:ascii="Times New Roman" w:hAnsi="Times New Roman"/>
          <w:i/>
          <w:iCs/>
          <w:sz w:val="24"/>
          <w:szCs w:val="24"/>
        </w:rPr>
        <w:t>Kismet</w:t>
      </w:r>
      <w:r w:rsidRPr="00B30DB2">
        <w:rPr>
          <w:rFonts w:ascii="Times New Roman" w:hAnsi="Times New Roman"/>
          <w:sz w:val="24"/>
          <w:szCs w:val="24"/>
        </w:rPr>
        <w:t xml:space="preserve">, a </w:t>
      </w:r>
      <w:proofErr w:type="spellStart"/>
      <w:r w:rsidRPr="00B30DB2">
        <w:rPr>
          <w:rFonts w:ascii="Times New Roman" w:hAnsi="Times New Roman"/>
          <w:sz w:val="24"/>
          <w:szCs w:val="24"/>
        </w:rPr>
        <w:t>dramatico</w:t>
      </w:r>
      <w:proofErr w:type="spellEnd"/>
      <w:r w:rsidRPr="00B30DB2">
        <w:rPr>
          <w:rFonts w:ascii="Times New Roman" w:hAnsi="Times New Roman"/>
          <w:sz w:val="24"/>
          <w:szCs w:val="24"/>
        </w:rPr>
        <w:t xml:space="preserve">-musical work. </w:t>
      </w:r>
      <w:r w:rsidR="00C07AF4">
        <w:rPr>
          <w:rFonts w:ascii="Times New Roman" w:hAnsi="Times New Roman"/>
          <w:sz w:val="24"/>
          <w:szCs w:val="24"/>
        </w:rPr>
        <w:t xml:space="preserve"> </w:t>
      </w:r>
      <w:r w:rsidRPr="00B30DB2">
        <w:rPr>
          <w:rFonts w:ascii="Times New Roman" w:hAnsi="Times New Roman"/>
          <w:sz w:val="24"/>
          <w:szCs w:val="24"/>
        </w:rPr>
        <w:t>MGM, Inc. under license pr</w:t>
      </w:r>
      <w:r w:rsidRPr="00B30DB2">
        <w:rPr>
          <w:rFonts w:ascii="Times New Roman" w:hAnsi="Times New Roman"/>
          <w:sz w:val="24"/>
          <w:szCs w:val="24"/>
        </w:rPr>
        <w:t>o</w:t>
      </w:r>
      <w:r w:rsidRPr="00B30DB2">
        <w:rPr>
          <w:rFonts w:ascii="Times New Roman" w:hAnsi="Times New Roman"/>
          <w:sz w:val="24"/>
          <w:szCs w:val="24"/>
        </w:rPr>
        <w:t xml:space="preserve">duced a musical motion picture version of </w:t>
      </w:r>
      <w:r w:rsidRPr="00B30DB2">
        <w:rPr>
          <w:rFonts w:ascii="Times New Roman" w:hAnsi="Times New Roman"/>
          <w:i/>
          <w:iCs/>
          <w:sz w:val="24"/>
          <w:szCs w:val="24"/>
        </w:rPr>
        <w:t>Kismet</w:t>
      </w:r>
      <w:r w:rsidRPr="00B30DB2">
        <w:rPr>
          <w:rFonts w:ascii="Times New Roman" w:hAnsi="Times New Roman"/>
          <w:sz w:val="24"/>
          <w:szCs w:val="24"/>
        </w:rPr>
        <w:t xml:space="preserve">. </w:t>
      </w:r>
      <w:r w:rsidR="00C07AF4">
        <w:rPr>
          <w:rFonts w:ascii="Times New Roman" w:hAnsi="Times New Roman"/>
          <w:sz w:val="24"/>
          <w:szCs w:val="24"/>
        </w:rPr>
        <w:t xml:space="preserve"> </w:t>
      </w:r>
      <w:r w:rsidRPr="00B30DB2">
        <w:rPr>
          <w:rFonts w:ascii="Times New Roman" w:hAnsi="Times New Roman"/>
          <w:sz w:val="24"/>
          <w:szCs w:val="24"/>
        </w:rPr>
        <w:t>Beginning April 26, 1974, MGM Grand pr</w:t>
      </w:r>
      <w:r w:rsidRPr="00B30DB2">
        <w:rPr>
          <w:rFonts w:ascii="Times New Roman" w:hAnsi="Times New Roman"/>
          <w:sz w:val="24"/>
          <w:szCs w:val="24"/>
        </w:rPr>
        <w:t>e</w:t>
      </w:r>
      <w:r w:rsidRPr="00B30DB2">
        <w:rPr>
          <w:rFonts w:ascii="Times New Roman" w:hAnsi="Times New Roman"/>
          <w:sz w:val="24"/>
          <w:szCs w:val="24"/>
        </w:rPr>
        <w:t xml:space="preserve">sented a musical revue entitled </w:t>
      </w:r>
      <w:r w:rsidRPr="00B30DB2">
        <w:rPr>
          <w:rFonts w:ascii="Times New Roman" w:hAnsi="Times New Roman"/>
          <w:i/>
          <w:iCs/>
          <w:sz w:val="24"/>
          <w:szCs w:val="24"/>
        </w:rPr>
        <w:t>Hallelujah Hollywood</w:t>
      </w:r>
      <w:r w:rsidR="00C07AF4">
        <w:rPr>
          <w:rFonts w:ascii="Times New Roman" w:hAnsi="Times New Roman"/>
          <w:sz w:val="24"/>
          <w:szCs w:val="24"/>
        </w:rPr>
        <w:t xml:space="preserve"> in the [*1548] </w:t>
      </w:r>
      <w:r w:rsidRPr="00B30DB2">
        <w:rPr>
          <w:rFonts w:ascii="Times New Roman" w:hAnsi="Times New Roman"/>
          <w:sz w:val="24"/>
          <w:szCs w:val="24"/>
        </w:rPr>
        <w:t>hotel's Ziegfeld Theatre.</w:t>
      </w:r>
      <w:r w:rsidR="00C07AF4">
        <w:rPr>
          <w:rFonts w:ascii="Times New Roman" w:hAnsi="Times New Roman"/>
          <w:sz w:val="24"/>
          <w:szCs w:val="24"/>
        </w:rPr>
        <w:t xml:space="preserve"> </w:t>
      </w:r>
      <w:r w:rsidRPr="00B30DB2">
        <w:rPr>
          <w:rFonts w:ascii="Times New Roman" w:hAnsi="Times New Roman"/>
          <w:sz w:val="24"/>
          <w:szCs w:val="24"/>
        </w:rPr>
        <w:t xml:space="preserve"> </w:t>
      </w:r>
      <w:r w:rsidRPr="00B30DB2">
        <w:rPr>
          <w:rFonts w:ascii="Times New Roman" w:hAnsi="Times New Roman"/>
          <w:i/>
          <w:iCs/>
          <w:sz w:val="24"/>
          <w:szCs w:val="24"/>
        </w:rPr>
        <w:t>Ha</w:t>
      </w:r>
      <w:r w:rsidRPr="00B30DB2">
        <w:rPr>
          <w:rFonts w:ascii="Times New Roman" w:hAnsi="Times New Roman"/>
          <w:i/>
          <w:iCs/>
          <w:sz w:val="24"/>
          <w:szCs w:val="24"/>
        </w:rPr>
        <w:t>l</w:t>
      </w:r>
      <w:r w:rsidRPr="00B30DB2">
        <w:rPr>
          <w:rFonts w:ascii="Times New Roman" w:hAnsi="Times New Roman"/>
          <w:i/>
          <w:iCs/>
          <w:sz w:val="24"/>
          <w:szCs w:val="24"/>
        </w:rPr>
        <w:t>lelujah Hollywood</w:t>
      </w:r>
      <w:r w:rsidRPr="00B30DB2">
        <w:rPr>
          <w:rFonts w:ascii="Times New Roman" w:hAnsi="Times New Roman"/>
          <w:sz w:val="24"/>
          <w:szCs w:val="24"/>
        </w:rPr>
        <w:t xml:space="preserve"> was largely created by an emp</w:t>
      </w:r>
      <w:r w:rsidR="00C07AF4">
        <w:rPr>
          <w:rFonts w:ascii="Times New Roman" w:hAnsi="Times New Roman"/>
          <w:sz w:val="24"/>
          <w:szCs w:val="24"/>
        </w:rPr>
        <w:t xml:space="preserve">loyee of MGM Grand, </w:t>
      </w:r>
      <w:proofErr w:type="spellStart"/>
      <w:r w:rsidR="00C07AF4">
        <w:rPr>
          <w:rFonts w:ascii="Times New Roman" w:hAnsi="Times New Roman"/>
          <w:sz w:val="24"/>
          <w:szCs w:val="24"/>
        </w:rPr>
        <w:t>Donn</w:t>
      </w:r>
      <w:proofErr w:type="spellEnd"/>
      <w:r w:rsidR="00C07AF4">
        <w:rPr>
          <w:rFonts w:ascii="Times New Roman" w:hAnsi="Times New Roman"/>
          <w:sz w:val="24"/>
          <w:szCs w:val="24"/>
        </w:rPr>
        <w:t xml:space="preserve"> Arden</w:t>
      </w:r>
      <w:proofErr w:type="gramStart"/>
      <w:r w:rsidR="00C07AF4">
        <w:rPr>
          <w:rFonts w:ascii="Times New Roman" w:hAnsi="Times New Roman"/>
          <w:sz w:val="24"/>
          <w:szCs w:val="24"/>
        </w:rPr>
        <w:t>,</w:t>
      </w:r>
      <w:r w:rsidRPr="00B30DB2">
        <w:rPr>
          <w:rFonts w:ascii="Times New Roman" w:hAnsi="Times New Roman"/>
          <w:sz w:val="24"/>
          <w:szCs w:val="24"/>
          <w:vertAlign w:val="superscript"/>
        </w:rPr>
        <w:t>1</w:t>
      </w:r>
      <w:proofErr w:type="gramEnd"/>
      <w:r w:rsidRPr="00B30DB2">
        <w:rPr>
          <w:rFonts w:ascii="Times New Roman" w:hAnsi="Times New Roman"/>
          <w:sz w:val="24"/>
          <w:szCs w:val="24"/>
        </w:rPr>
        <w:t xml:space="preserve"> who also staged, produced and directed the show. The show comprised ten acts, four billed as "tributes" to MGM motion pictures. Act IV was entitled "Kismet", and was a tribute to the MGM movie of that name. It was based almost entirely on music from </w:t>
      </w:r>
      <w:r w:rsidRPr="00B30DB2">
        <w:rPr>
          <w:rFonts w:ascii="Times New Roman" w:hAnsi="Times New Roman"/>
          <w:i/>
          <w:iCs/>
          <w:sz w:val="24"/>
          <w:szCs w:val="24"/>
        </w:rPr>
        <w:t>Kismet</w:t>
      </w:r>
      <w:r w:rsidRPr="00B30DB2">
        <w:rPr>
          <w:rFonts w:ascii="Times New Roman" w:hAnsi="Times New Roman"/>
          <w:sz w:val="24"/>
          <w:szCs w:val="24"/>
        </w:rPr>
        <w:t xml:space="preserve">, and used characters and settings from that musical. Act IV "Kismet" was performed approximately 1700 times, until July 16, 1976, when, under pressure resulting from this litigation, MGM Grand substituted a new Act IV.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Plaintiffs filed suit, alleging copyright infringement, unfair competition, and breach of contract. In </w:t>
      </w:r>
      <w:r w:rsidRPr="00B30DB2">
        <w:rPr>
          <w:rFonts w:ascii="Times New Roman" w:hAnsi="Times New Roman"/>
          <w:i/>
          <w:iCs/>
          <w:sz w:val="24"/>
          <w:szCs w:val="24"/>
        </w:rPr>
        <w:t>Frank Music I</w:t>
      </w:r>
      <w:r w:rsidRPr="00B30DB2">
        <w:rPr>
          <w:rFonts w:ascii="Times New Roman" w:hAnsi="Times New Roman"/>
          <w:sz w:val="24"/>
          <w:szCs w:val="24"/>
        </w:rPr>
        <w:t xml:space="preserve">, we affirmed the district court's conclusion that the use of </w:t>
      </w:r>
      <w:r w:rsidRPr="00B30DB2">
        <w:rPr>
          <w:rFonts w:ascii="Times New Roman" w:hAnsi="Times New Roman"/>
          <w:i/>
          <w:iCs/>
          <w:sz w:val="24"/>
          <w:szCs w:val="24"/>
        </w:rPr>
        <w:t>Kismet</w:t>
      </w:r>
      <w:r w:rsidRPr="00B30DB2">
        <w:rPr>
          <w:rFonts w:ascii="Times New Roman" w:hAnsi="Times New Roman"/>
          <w:sz w:val="24"/>
          <w:szCs w:val="24"/>
        </w:rPr>
        <w:t xml:space="preserve"> in </w:t>
      </w:r>
      <w:r w:rsidRPr="00B30DB2">
        <w:rPr>
          <w:rFonts w:ascii="Times New Roman" w:hAnsi="Times New Roman"/>
          <w:i/>
          <w:iCs/>
          <w:sz w:val="24"/>
          <w:szCs w:val="24"/>
        </w:rPr>
        <w:t>Hallelujah Hollywood</w:t>
      </w:r>
      <w:r w:rsidRPr="00B30DB2">
        <w:rPr>
          <w:rFonts w:ascii="Times New Roman" w:hAnsi="Times New Roman"/>
          <w:sz w:val="24"/>
          <w:szCs w:val="24"/>
        </w:rPr>
        <w:t xml:space="preserve"> was beyond the scope of MGM Grand's ASCAP license and infringed plaintiffs' cop</w:t>
      </w:r>
      <w:r w:rsidRPr="00B30DB2">
        <w:rPr>
          <w:rFonts w:ascii="Times New Roman" w:hAnsi="Times New Roman"/>
          <w:sz w:val="24"/>
          <w:szCs w:val="24"/>
        </w:rPr>
        <w:t>y</w:t>
      </w:r>
      <w:r w:rsidRPr="00B30DB2">
        <w:rPr>
          <w:rFonts w:ascii="Times New Roman" w:hAnsi="Times New Roman"/>
          <w:sz w:val="24"/>
          <w:szCs w:val="24"/>
        </w:rPr>
        <w:t xml:space="preserve">right. In this appeal, the parties focus on the adequacy of damages and attorney's fees. </w:t>
      </w:r>
    </w:p>
    <w:p w:rsidR="00406238" w:rsidRPr="00B30DB2" w:rsidRDefault="00406238" w:rsidP="00C07AF4">
      <w:pPr>
        <w:widowControl/>
        <w:jc w:val="both"/>
        <w:rPr>
          <w:rFonts w:ascii="Times New Roman" w:hAnsi="Times New Roman"/>
          <w:sz w:val="24"/>
          <w:szCs w:val="24"/>
        </w:rPr>
      </w:pPr>
    </w:p>
    <w:p w:rsidR="00406238" w:rsidRPr="00B30DB2" w:rsidRDefault="00C87686" w:rsidP="00C07AF4">
      <w:pPr>
        <w:widowControl/>
        <w:jc w:val="center"/>
        <w:rPr>
          <w:rFonts w:ascii="Times New Roman" w:hAnsi="Times New Roman"/>
          <w:sz w:val="24"/>
          <w:szCs w:val="24"/>
        </w:rPr>
      </w:pPr>
      <w:r w:rsidRPr="00B30DB2">
        <w:rPr>
          <w:rFonts w:ascii="Times New Roman" w:hAnsi="Times New Roman"/>
          <w:sz w:val="24"/>
          <w:szCs w:val="24"/>
        </w:rPr>
        <w:t>II.  DISCUSSION</w:t>
      </w:r>
    </w:p>
    <w:p w:rsidR="00406238" w:rsidRPr="00B30DB2" w:rsidRDefault="00C87686" w:rsidP="00C07AF4">
      <w:pPr>
        <w:widowControl/>
        <w:spacing w:before="120"/>
        <w:jc w:val="center"/>
        <w:rPr>
          <w:rFonts w:ascii="Times New Roman" w:hAnsi="Times New Roman"/>
          <w:sz w:val="24"/>
          <w:szCs w:val="24"/>
        </w:rPr>
      </w:pPr>
      <w:r w:rsidRPr="00B30DB2">
        <w:rPr>
          <w:rFonts w:ascii="Times New Roman" w:hAnsi="Times New Roman"/>
          <w:sz w:val="24"/>
          <w:szCs w:val="24"/>
        </w:rPr>
        <w:t xml:space="preserve">A.  </w:t>
      </w:r>
      <w:r w:rsidRPr="00B30DB2">
        <w:rPr>
          <w:rFonts w:ascii="Times New Roman" w:hAnsi="Times New Roman"/>
          <w:i/>
          <w:iCs/>
          <w:sz w:val="24"/>
          <w:szCs w:val="24"/>
        </w:rPr>
        <w:t>Apportionment of Profits</w:t>
      </w:r>
    </w:p>
    <w:p w:rsidR="00406238" w:rsidRPr="00B30DB2" w:rsidRDefault="00C87686" w:rsidP="00C07AF4">
      <w:pPr>
        <w:widowControl/>
        <w:spacing w:before="120"/>
        <w:jc w:val="both"/>
        <w:rPr>
          <w:rFonts w:ascii="Times New Roman" w:hAnsi="Times New Roman"/>
          <w:sz w:val="24"/>
          <w:szCs w:val="24"/>
        </w:rPr>
      </w:pPr>
      <w:r w:rsidRPr="00B30DB2">
        <w:rPr>
          <w:rFonts w:ascii="Times New Roman" w:hAnsi="Times New Roman"/>
          <w:sz w:val="24"/>
          <w:szCs w:val="24"/>
        </w:rPr>
        <w:t xml:space="preserve">1.  Direct Profits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In </w:t>
      </w:r>
      <w:r w:rsidRPr="00B30DB2">
        <w:rPr>
          <w:rFonts w:ascii="Times New Roman" w:hAnsi="Times New Roman"/>
          <w:i/>
          <w:iCs/>
          <w:sz w:val="24"/>
          <w:szCs w:val="24"/>
        </w:rPr>
        <w:t>Frank Music I</w:t>
      </w:r>
      <w:r w:rsidRPr="00B30DB2">
        <w:rPr>
          <w:rFonts w:ascii="Times New Roman" w:hAnsi="Times New Roman"/>
          <w:sz w:val="24"/>
          <w:szCs w:val="24"/>
        </w:rPr>
        <w:t>, we upheld the district court's conclusion that the plaintiffs failed to prove a</w:t>
      </w:r>
      <w:r w:rsidRPr="00B30DB2">
        <w:rPr>
          <w:rFonts w:ascii="Times New Roman" w:hAnsi="Times New Roman"/>
          <w:sz w:val="24"/>
          <w:szCs w:val="24"/>
        </w:rPr>
        <w:t>c</w:t>
      </w:r>
      <w:r w:rsidRPr="00B30DB2">
        <w:rPr>
          <w:rFonts w:ascii="Times New Roman" w:hAnsi="Times New Roman"/>
          <w:sz w:val="24"/>
          <w:szCs w:val="24"/>
        </w:rPr>
        <w:t xml:space="preserve">tual damages arising from the infringement, but vacated </w:t>
      </w:r>
      <w:r w:rsidR="00003F97">
        <w:rPr>
          <w:rFonts w:ascii="Times New Roman" w:hAnsi="Times New Roman"/>
          <w:sz w:val="24"/>
          <w:szCs w:val="24"/>
        </w:rPr>
        <w:t>the district court's award of $</w:t>
      </w:r>
      <w:r w:rsidRPr="00B30DB2">
        <w:rPr>
          <w:rFonts w:ascii="Times New Roman" w:hAnsi="Times New Roman"/>
          <w:sz w:val="24"/>
          <w:szCs w:val="24"/>
        </w:rPr>
        <w:t>22,000 in a</w:t>
      </w:r>
      <w:r w:rsidRPr="00B30DB2">
        <w:rPr>
          <w:rFonts w:ascii="Times New Roman" w:hAnsi="Times New Roman"/>
          <w:sz w:val="24"/>
          <w:szCs w:val="24"/>
        </w:rPr>
        <w:t>p</w:t>
      </w:r>
      <w:r w:rsidRPr="00B30DB2">
        <w:rPr>
          <w:rFonts w:ascii="Times New Roman" w:hAnsi="Times New Roman"/>
          <w:sz w:val="24"/>
          <w:szCs w:val="24"/>
        </w:rPr>
        <w:t xml:space="preserve">portioned profits as "grossly inadequate," and remanded to the district court for reconsideration.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On remand, the district court calculated MGM Grand's net profit from </w:t>
      </w:r>
      <w:r w:rsidRPr="00B30DB2">
        <w:rPr>
          <w:rFonts w:ascii="Times New Roman" w:hAnsi="Times New Roman"/>
          <w:i/>
          <w:iCs/>
          <w:sz w:val="24"/>
          <w:szCs w:val="24"/>
        </w:rPr>
        <w:t>Hallelujah Hollywood</w:t>
      </w:r>
      <w:r w:rsidR="00003F97">
        <w:rPr>
          <w:rFonts w:ascii="Times New Roman" w:hAnsi="Times New Roman"/>
          <w:sz w:val="24"/>
          <w:szCs w:val="24"/>
        </w:rPr>
        <w:t xml:space="preserve"> at $</w:t>
      </w:r>
      <w:r w:rsidRPr="00B30DB2">
        <w:rPr>
          <w:rFonts w:ascii="Times New Roman" w:hAnsi="Times New Roman"/>
          <w:sz w:val="24"/>
          <w:szCs w:val="24"/>
        </w:rPr>
        <w:t>6,131,606, by deducting from its gross revenues the direct costs MGM Grand proved it had i</w:t>
      </w:r>
      <w:r w:rsidRPr="00B30DB2">
        <w:rPr>
          <w:rFonts w:ascii="Times New Roman" w:hAnsi="Times New Roman"/>
          <w:sz w:val="24"/>
          <w:szCs w:val="24"/>
        </w:rPr>
        <w:t>n</w:t>
      </w:r>
      <w:r w:rsidRPr="00B30DB2">
        <w:rPr>
          <w:rFonts w:ascii="Times New Roman" w:hAnsi="Times New Roman"/>
          <w:sz w:val="24"/>
          <w:szCs w:val="24"/>
        </w:rPr>
        <w:t xml:space="preserve">curred. Neither party challenges this calculation. </w:t>
      </w:r>
    </w:p>
    <w:p w:rsidR="00406238" w:rsidRPr="00B30DB2" w:rsidRDefault="00C87686" w:rsidP="00003F97">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In apportioning the profits between Act IV and the other acts in the show, the district court made the following finding:  </w:t>
      </w:r>
    </w:p>
    <w:p w:rsidR="00406238" w:rsidRPr="00B30DB2" w:rsidRDefault="00C87686" w:rsidP="00003F97">
      <w:pPr>
        <w:widowControl/>
        <w:spacing w:before="120"/>
        <w:ind w:left="605" w:right="605"/>
        <w:jc w:val="both"/>
        <w:rPr>
          <w:rFonts w:ascii="Times New Roman" w:hAnsi="Times New Roman"/>
          <w:sz w:val="24"/>
          <w:szCs w:val="24"/>
        </w:rPr>
      </w:pPr>
      <w:r w:rsidRPr="00B30DB2">
        <w:rPr>
          <w:rFonts w:ascii="Times New Roman" w:hAnsi="Times New Roman"/>
          <w:sz w:val="24"/>
          <w:szCs w:val="24"/>
        </w:rPr>
        <w:t xml:space="preserve">   Act IV of "Hallelujah Hollywood" was one of ten acts, approximately a </w:t>
      </w:r>
      <w:proofErr w:type="gramStart"/>
      <w:r w:rsidRPr="00B30DB2">
        <w:rPr>
          <w:rFonts w:ascii="Times New Roman" w:hAnsi="Times New Roman"/>
          <w:sz w:val="24"/>
          <w:szCs w:val="24"/>
        </w:rPr>
        <w:t>ten minute</w:t>
      </w:r>
      <w:proofErr w:type="gramEnd"/>
      <w:r w:rsidRPr="00B30DB2">
        <w:rPr>
          <w:rFonts w:ascii="Times New Roman" w:hAnsi="Times New Roman"/>
          <w:sz w:val="24"/>
          <w:szCs w:val="24"/>
        </w:rPr>
        <w:t xml:space="preserve"> segment of a 100 minute revue. On this basis, the Court concludes that ten percent of the profits of "Hallelujah Hollywood" are attributable to Act IV.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Plaintiffs assert that this finding is in error in several respects. First, they point out that on Sa</w:t>
      </w:r>
      <w:r w:rsidRPr="00B30DB2">
        <w:rPr>
          <w:rFonts w:ascii="Times New Roman" w:hAnsi="Times New Roman"/>
          <w:sz w:val="24"/>
          <w:szCs w:val="24"/>
        </w:rPr>
        <w:t>t</w:t>
      </w:r>
      <w:r w:rsidRPr="00B30DB2">
        <w:rPr>
          <w:rFonts w:ascii="Times New Roman" w:hAnsi="Times New Roman"/>
          <w:sz w:val="24"/>
          <w:szCs w:val="24"/>
        </w:rPr>
        <w:t xml:space="preserve">urdays </w:t>
      </w:r>
      <w:r w:rsidRPr="00B30DB2">
        <w:rPr>
          <w:rFonts w:ascii="Times New Roman" w:hAnsi="Times New Roman"/>
          <w:i/>
          <w:iCs/>
          <w:sz w:val="24"/>
          <w:szCs w:val="24"/>
        </w:rPr>
        <w:t>Hallelujah Hollywood</w:t>
      </w:r>
      <w:r w:rsidRPr="00B30DB2">
        <w:rPr>
          <w:rFonts w:ascii="Times New Roman" w:hAnsi="Times New Roman"/>
          <w:sz w:val="24"/>
          <w:szCs w:val="24"/>
        </w:rPr>
        <w:t xml:space="preserve"> contained only eight acts, not ten, and that on Saturdays the show ran only 75 minutes, not 100.  Second, Act IV was approximately eleven and a half minutes long, not ten. Because the show was performed three times on Saturdays, and twice a night on the other ev</w:t>
      </w:r>
      <w:r w:rsidRPr="00B30DB2">
        <w:rPr>
          <w:rFonts w:ascii="Times New Roman" w:hAnsi="Times New Roman"/>
          <w:sz w:val="24"/>
          <w:szCs w:val="24"/>
        </w:rPr>
        <w:t>e</w:t>
      </w:r>
      <w:r w:rsidRPr="00B30DB2">
        <w:rPr>
          <w:rFonts w:ascii="Times New Roman" w:hAnsi="Times New Roman"/>
          <w:sz w:val="24"/>
          <w:szCs w:val="24"/>
        </w:rPr>
        <w:t>nings of the week, the district court substantially underestimated the running time of Act IV in rel</w:t>
      </w:r>
      <w:r w:rsidRPr="00B30DB2">
        <w:rPr>
          <w:rFonts w:ascii="Times New Roman" w:hAnsi="Times New Roman"/>
          <w:sz w:val="24"/>
          <w:szCs w:val="24"/>
        </w:rPr>
        <w:t>a</w:t>
      </w:r>
      <w:r w:rsidRPr="00B30DB2">
        <w:rPr>
          <w:rFonts w:ascii="Times New Roman" w:hAnsi="Times New Roman"/>
          <w:sz w:val="24"/>
          <w:szCs w:val="24"/>
        </w:rPr>
        <w:t>tion to the rest of the show.</w:t>
      </w:r>
      <w:r w:rsidR="0068793E" w:rsidRPr="00B30DB2">
        <w:rPr>
          <w:rStyle w:val="FootnoteReference"/>
          <w:rFonts w:ascii="Times New Roman" w:hAnsi="Times New Roman"/>
          <w:sz w:val="24"/>
          <w:szCs w:val="24"/>
        </w:rPr>
        <w:footnoteReference w:id="1"/>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If the district court relied exclusively on a quantitative comparison and failed to consider the relative quality or drawing power of the show's various component parts, it erred. </w:t>
      </w:r>
      <w:proofErr w:type="gramStart"/>
      <w:r w:rsidRPr="00B30DB2">
        <w:rPr>
          <w:rFonts w:ascii="Times New Roman" w:hAnsi="Times New Roman"/>
          <w:i/>
          <w:iCs/>
          <w:sz w:val="24"/>
          <w:szCs w:val="24"/>
        </w:rPr>
        <w:t>See ABKCO M</w:t>
      </w:r>
      <w:r w:rsidRPr="00B30DB2">
        <w:rPr>
          <w:rFonts w:ascii="Times New Roman" w:hAnsi="Times New Roman"/>
          <w:i/>
          <w:iCs/>
          <w:sz w:val="24"/>
          <w:szCs w:val="24"/>
        </w:rPr>
        <w:t>u</w:t>
      </w:r>
      <w:r w:rsidRPr="00B30DB2">
        <w:rPr>
          <w:rFonts w:ascii="Times New Roman" w:hAnsi="Times New Roman"/>
          <w:i/>
          <w:iCs/>
          <w:sz w:val="24"/>
          <w:szCs w:val="24"/>
        </w:rPr>
        <w:t xml:space="preserve">sic, Inc. v. </w:t>
      </w:r>
      <w:proofErr w:type="spellStart"/>
      <w:r w:rsidRPr="00B30DB2">
        <w:rPr>
          <w:rFonts w:ascii="Times New Roman" w:hAnsi="Times New Roman"/>
          <w:i/>
          <w:iCs/>
          <w:sz w:val="24"/>
          <w:szCs w:val="24"/>
        </w:rPr>
        <w:t>Harrisongs</w:t>
      </w:r>
      <w:proofErr w:type="spellEnd"/>
      <w:r w:rsidRPr="00B30DB2">
        <w:rPr>
          <w:rFonts w:ascii="Times New Roman" w:hAnsi="Times New Roman"/>
          <w:i/>
          <w:iCs/>
          <w:sz w:val="24"/>
          <w:szCs w:val="24"/>
        </w:rPr>
        <w:t xml:space="preserve"> Music, Ltd.</w:t>
      </w:r>
      <w:r w:rsidRPr="00B30DB2">
        <w:rPr>
          <w:rFonts w:ascii="Times New Roman" w:hAnsi="Times New Roman"/>
          <w:sz w:val="24"/>
          <w:szCs w:val="24"/>
        </w:rPr>
        <w:t xml:space="preserve">, 508 F. Supp. 798, 800 (S.D.N.Y. 1981), </w:t>
      </w:r>
      <w:r w:rsidRPr="00B30DB2">
        <w:rPr>
          <w:rFonts w:ascii="Times New Roman" w:hAnsi="Times New Roman"/>
          <w:i/>
          <w:iCs/>
          <w:sz w:val="24"/>
          <w:szCs w:val="24"/>
        </w:rPr>
        <w:t>modified on other grounds</w:t>
      </w:r>
      <w:r w:rsidRPr="00B30DB2">
        <w:rPr>
          <w:rFonts w:ascii="Times New Roman" w:hAnsi="Times New Roman"/>
          <w:sz w:val="24"/>
          <w:szCs w:val="24"/>
        </w:rPr>
        <w:t>, 722 F.2d 988 (2d Cir. 1983</w:t>
      </w:r>
      <w:r w:rsidR="00003F97">
        <w:rPr>
          <w:rFonts w:ascii="Times New Roman" w:hAnsi="Times New Roman"/>
          <w:sz w:val="24"/>
          <w:szCs w:val="24"/>
        </w:rPr>
        <w:t>)</w:t>
      </w:r>
      <w:r w:rsidRPr="00B30DB2">
        <w:rPr>
          <w:rFonts w:ascii="Times New Roman" w:hAnsi="Times New Roman"/>
          <w:sz w:val="24"/>
          <w:szCs w:val="24"/>
        </w:rPr>
        <w:t>.</w:t>
      </w:r>
      <w:proofErr w:type="gramEnd"/>
      <w:r w:rsidRPr="00B30DB2">
        <w:rPr>
          <w:rFonts w:ascii="Times New Roman" w:hAnsi="Times New Roman"/>
          <w:sz w:val="24"/>
          <w:szCs w:val="24"/>
        </w:rPr>
        <w:t xml:space="preserve"> </w:t>
      </w:r>
      <w:r w:rsidR="00985C05">
        <w:rPr>
          <w:rFonts w:ascii="Times New Roman" w:hAnsi="Times New Roman"/>
          <w:sz w:val="24"/>
          <w:szCs w:val="24"/>
        </w:rPr>
        <w:t xml:space="preserve"> </w:t>
      </w:r>
      <w:r w:rsidRPr="00B30DB2">
        <w:rPr>
          <w:rFonts w:ascii="Times New Roman" w:hAnsi="Times New Roman"/>
          <w:sz w:val="24"/>
          <w:szCs w:val="24"/>
        </w:rPr>
        <w:t>However, the district court's apportionment based on co</w:t>
      </w:r>
      <w:r w:rsidRPr="00B30DB2">
        <w:rPr>
          <w:rFonts w:ascii="Times New Roman" w:hAnsi="Times New Roman"/>
          <w:sz w:val="24"/>
          <w:szCs w:val="24"/>
        </w:rPr>
        <w:t>m</w:t>
      </w:r>
      <w:r w:rsidRPr="00B30DB2">
        <w:rPr>
          <w:rFonts w:ascii="Times New Roman" w:hAnsi="Times New Roman"/>
          <w:sz w:val="24"/>
          <w:szCs w:val="24"/>
        </w:rPr>
        <w:t xml:space="preserve">parative durations would be appropriate if the district court implicitly concluded that all the acts of the show were of roughly equal value. </w:t>
      </w:r>
      <w:r w:rsidR="00003F97">
        <w:rPr>
          <w:rFonts w:ascii="Times New Roman" w:hAnsi="Times New Roman"/>
          <w:i/>
          <w:iCs/>
          <w:sz w:val="24"/>
          <w:szCs w:val="24"/>
        </w:rPr>
        <w:t xml:space="preserve">Cf. </w:t>
      </w:r>
      <w:r w:rsidRPr="00B30DB2">
        <w:rPr>
          <w:rFonts w:ascii="Times New Roman" w:hAnsi="Times New Roman"/>
          <w:i/>
          <w:iCs/>
          <w:sz w:val="24"/>
          <w:szCs w:val="24"/>
        </w:rPr>
        <w:t>Frank Music I</w:t>
      </w:r>
      <w:r w:rsidRPr="00B30DB2">
        <w:rPr>
          <w:rFonts w:ascii="Times New Roman" w:hAnsi="Times New Roman"/>
          <w:sz w:val="24"/>
          <w:szCs w:val="24"/>
        </w:rPr>
        <w:t>, 772 F.2d at 518 ("Each element contri</w:t>
      </w:r>
      <w:r w:rsidRPr="00B30DB2">
        <w:rPr>
          <w:rFonts w:ascii="Times New Roman" w:hAnsi="Times New Roman"/>
          <w:sz w:val="24"/>
          <w:szCs w:val="24"/>
        </w:rPr>
        <w:t>b</w:t>
      </w:r>
      <w:r w:rsidRPr="00B30DB2">
        <w:rPr>
          <w:rFonts w:ascii="Times New Roman" w:hAnsi="Times New Roman"/>
          <w:sz w:val="24"/>
          <w:szCs w:val="24"/>
        </w:rPr>
        <w:t>uted significantly to the show's success, but no one element was the sole or overriding reason for that success.") While a more precise statement o</w:t>
      </w:r>
      <w:r w:rsidR="00003F97">
        <w:rPr>
          <w:rFonts w:ascii="Times New Roman" w:hAnsi="Times New Roman"/>
          <w:sz w:val="24"/>
          <w:szCs w:val="24"/>
        </w:rPr>
        <w:t xml:space="preserve">f the district court's reasons [*1549] </w:t>
      </w:r>
      <w:r w:rsidRPr="00B30DB2">
        <w:rPr>
          <w:rFonts w:ascii="Times New Roman" w:hAnsi="Times New Roman"/>
          <w:sz w:val="24"/>
          <w:szCs w:val="24"/>
        </w:rPr>
        <w:t xml:space="preserve">would have been desirable, we find support in the record for the conclusion that all the acts in the show were of substantially equal value. </w:t>
      </w:r>
    </w:p>
    <w:p w:rsidR="00406238" w:rsidRPr="00B30DB2" w:rsidRDefault="00C87686" w:rsidP="00985C05">
      <w:pPr>
        <w:widowControl/>
        <w:spacing w:before="120"/>
        <w:ind w:firstLine="360"/>
        <w:jc w:val="both"/>
        <w:rPr>
          <w:rFonts w:ascii="Times New Roman" w:hAnsi="Times New Roman"/>
          <w:sz w:val="24"/>
          <w:szCs w:val="24"/>
        </w:rPr>
      </w:pPr>
      <w:r w:rsidRPr="00B30DB2">
        <w:rPr>
          <w:rFonts w:ascii="Times New Roman" w:hAnsi="Times New Roman"/>
          <w:sz w:val="24"/>
          <w:szCs w:val="24"/>
        </w:rPr>
        <w:t>The district court went on to apportion the parti</w:t>
      </w:r>
      <w:r w:rsidR="0068793E" w:rsidRPr="00B30DB2">
        <w:rPr>
          <w:rFonts w:ascii="Times New Roman" w:hAnsi="Times New Roman"/>
          <w:sz w:val="24"/>
          <w:szCs w:val="24"/>
        </w:rPr>
        <w:t>es' relative contributions</w:t>
      </w:r>
      <w:r w:rsidRPr="00B30DB2">
        <w:rPr>
          <w:rFonts w:ascii="Times New Roman" w:hAnsi="Times New Roman"/>
          <w:sz w:val="24"/>
          <w:szCs w:val="24"/>
        </w:rPr>
        <w:t xml:space="preserve"> to Act IV itself:  </w:t>
      </w:r>
    </w:p>
    <w:p w:rsidR="00406238" w:rsidRPr="00B30DB2" w:rsidRDefault="00C87686" w:rsidP="00985C05">
      <w:pPr>
        <w:widowControl/>
        <w:spacing w:before="120"/>
        <w:ind w:left="605" w:right="605"/>
        <w:jc w:val="both"/>
        <w:rPr>
          <w:rFonts w:ascii="Times New Roman" w:hAnsi="Times New Roman"/>
          <w:sz w:val="24"/>
          <w:szCs w:val="24"/>
        </w:rPr>
      </w:pPr>
      <w:r w:rsidRPr="00B30DB2">
        <w:rPr>
          <w:rFonts w:ascii="Times New Roman" w:hAnsi="Times New Roman"/>
          <w:sz w:val="24"/>
          <w:szCs w:val="24"/>
        </w:rPr>
        <w:t xml:space="preserve">   The infringing musical material was only one of several elements contributing to the segment. A portion of the profits attributable to Act IV must be allocated to other el</w:t>
      </w:r>
      <w:r w:rsidRPr="00B30DB2">
        <w:rPr>
          <w:rFonts w:ascii="Times New Roman" w:hAnsi="Times New Roman"/>
          <w:sz w:val="24"/>
          <w:szCs w:val="24"/>
        </w:rPr>
        <w:t>e</w:t>
      </w:r>
      <w:r w:rsidRPr="00B30DB2">
        <w:rPr>
          <w:rFonts w:ascii="Times New Roman" w:hAnsi="Times New Roman"/>
          <w:sz w:val="24"/>
          <w:szCs w:val="24"/>
        </w:rPr>
        <w:t>ments, including the creative talent of the producer and director, the talents of perfor</w:t>
      </w:r>
      <w:r w:rsidRPr="00B30DB2">
        <w:rPr>
          <w:rFonts w:ascii="Times New Roman" w:hAnsi="Times New Roman"/>
          <w:sz w:val="24"/>
          <w:szCs w:val="24"/>
        </w:rPr>
        <w:t>m</w:t>
      </w:r>
      <w:r w:rsidRPr="00B30DB2">
        <w:rPr>
          <w:rFonts w:ascii="Times New Roman" w:hAnsi="Times New Roman"/>
          <w:sz w:val="24"/>
          <w:szCs w:val="24"/>
        </w:rPr>
        <w:t>ers, composers, choreographers, costume designers and others who participated in cr</w:t>
      </w:r>
      <w:r w:rsidRPr="00B30DB2">
        <w:rPr>
          <w:rFonts w:ascii="Times New Roman" w:hAnsi="Times New Roman"/>
          <w:sz w:val="24"/>
          <w:szCs w:val="24"/>
        </w:rPr>
        <w:t>e</w:t>
      </w:r>
      <w:r w:rsidRPr="00B30DB2">
        <w:rPr>
          <w:rFonts w:ascii="Times New Roman" w:hAnsi="Times New Roman"/>
          <w:sz w:val="24"/>
          <w:szCs w:val="24"/>
        </w:rPr>
        <w:t xml:space="preserve">ating Act IV, and the attraction of the unique Ziegfeld Theatre with its elaborate stage </w:t>
      </w:r>
      <w:proofErr w:type="gramStart"/>
      <w:r w:rsidRPr="00B30DB2">
        <w:rPr>
          <w:rFonts w:ascii="Times New Roman" w:hAnsi="Times New Roman"/>
          <w:sz w:val="24"/>
          <w:szCs w:val="24"/>
        </w:rPr>
        <w:t>effects.</w:t>
      </w:r>
      <w:proofErr w:type="gramEnd"/>
      <w:r w:rsidRPr="00B30DB2">
        <w:rPr>
          <w:rFonts w:ascii="Times New Roman" w:hAnsi="Times New Roman"/>
          <w:sz w:val="24"/>
          <w:szCs w:val="24"/>
        </w:rPr>
        <w:t xml:space="preserve"> . . . While no precise mathematical formula can be applied, the Court concludes that . . . a fair approximation of the value of the infringing work to Act IV is twenty-five percent. </w:t>
      </w:r>
    </w:p>
    <w:p w:rsidR="0068793E" w:rsidRPr="00B30DB2" w:rsidRDefault="00C87686" w:rsidP="00C07AF4">
      <w:pPr>
        <w:widowControl/>
        <w:spacing w:before="120"/>
        <w:ind w:firstLine="360"/>
        <w:jc w:val="both"/>
        <w:rPr>
          <w:rFonts w:ascii="Times New Roman" w:hAnsi="Times New Roman"/>
          <w:i/>
          <w:iCs/>
          <w:sz w:val="24"/>
          <w:szCs w:val="24"/>
        </w:rPr>
      </w:pPr>
      <w:r w:rsidRPr="00B30DB2">
        <w:rPr>
          <w:rFonts w:ascii="Times New Roman" w:hAnsi="Times New Roman"/>
          <w:sz w:val="24"/>
          <w:szCs w:val="24"/>
        </w:rPr>
        <w:t xml:space="preserve">The district court was correct in probing into the parties' relative contributions to Act IV. </w:t>
      </w:r>
      <w:r w:rsidR="00985C05">
        <w:rPr>
          <w:rFonts w:ascii="Times New Roman" w:hAnsi="Times New Roman"/>
          <w:sz w:val="24"/>
          <w:szCs w:val="24"/>
        </w:rPr>
        <w:t xml:space="preserve"> </w:t>
      </w:r>
      <w:r w:rsidRPr="00B30DB2">
        <w:rPr>
          <w:rFonts w:ascii="Times New Roman" w:hAnsi="Times New Roman"/>
          <w:sz w:val="24"/>
          <w:szCs w:val="24"/>
        </w:rPr>
        <w:t>Where a defendant alters infringing material to suit its own unique purposes, those alterations and the cre</w:t>
      </w:r>
      <w:r w:rsidRPr="00B30DB2">
        <w:rPr>
          <w:rFonts w:ascii="Times New Roman" w:hAnsi="Times New Roman"/>
          <w:sz w:val="24"/>
          <w:szCs w:val="24"/>
        </w:rPr>
        <w:t>a</w:t>
      </w:r>
      <w:r w:rsidRPr="00B30DB2">
        <w:rPr>
          <w:rFonts w:ascii="Times New Roman" w:hAnsi="Times New Roman"/>
          <w:sz w:val="24"/>
          <w:szCs w:val="24"/>
        </w:rPr>
        <w:t xml:space="preserve">tivity behind them should be taken into account in apportioning the profits of the infringing work. </w:t>
      </w:r>
      <w:r w:rsidR="00985C05">
        <w:rPr>
          <w:rFonts w:ascii="Times New Roman" w:hAnsi="Times New Roman"/>
          <w:i/>
          <w:iCs/>
          <w:sz w:val="24"/>
          <w:szCs w:val="24"/>
        </w:rPr>
        <w:t xml:space="preserve">Cf. </w:t>
      </w:r>
      <w:r w:rsidRPr="00B30DB2">
        <w:rPr>
          <w:rFonts w:ascii="Times New Roman" w:hAnsi="Times New Roman"/>
          <w:i/>
          <w:iCs/>
          <w:sz w:val="24"/>
          <w:szCs w:val="24"/>
        </w:rPr>
        <w:t>Sheldon v. Metro-Goldwyn Pictures Corp.</w:t>
      </w:r>
      <w:r w:rsidRPr="00B30DB2">
        <w:rPr>
          <w:rFonts w:ascii="Times New Roman" w:hAnsi="Times New Roman"/>
          <w:sz w:val="24"/>
          <w:szCs w:val="24"/>
        </w:rPr>
        <w:t xml:space="preserve">, 106 F.2d 45, 49-51 (2d Cir. 1939), </w:t>
      </w:r>
      <w:proofErr w:type="spellStart"/>
      <w:r w:rsidRPr="00B30DB2">
        <w:rPr>
          <w:rFonts w:ascii="Times New Roman" w:hAnsi="Times New Roman"/>
          <w:i/>
          <w:iCs/>
          <w:sz w:val="24"/>
          <w:szCs w:val="24"/>
        </w:rPr>
        <w:t>aff'd</w:t>
      </w:r>
      <w:proofErr w:type="spellEnd"/>
      <w:r w:rsidRPr="00B30DB2">
        <w:rPr>
          <w:rFonts w:ascii="Times New Roman" w:hAnsi="Times New Roman"/>
          <w:sz w:val="24"/>
          <w:szCs w:val="24"/>
        </w:rPr>
        <w:t>, 309 U.S. 390 (1940).</w:t>
      </w:r>
      <w:r w:rsidR="0068793E" w:rsidRPr="00B30DB2">
        <w:rPr>
          <w:rFonts w:ascii="Times New Roman" w:hAnsi="Times New Roman"/>
          <w:sz w:val="24"/>
          <w:szCs w:val="24"/>
        </w:rPr>
        <w:t xml:space="preserve"> </w:t>
      </w:r>
      <w:r w:rsidRPr="00B30DB2">
        <w:rPr>
          <w:rFonts w:ascii="Times New Roman" w:hAnsi="Times New Roman"/>
          <w:sz w:val="24"/>
          <w:szCs w:val="24"/>
        </w:rPr>
        <w:t xml:space="preserve"> However, the district court appears to have ignored its finding in its previous decision that defendants used not only the plaintiffs' music, but also their lyrics, characters, settings, and co</w:t>
      </w:r>
      <w:r w:rsidRPr="00B30DB2">
        <w:rPr>
          <w:rFonts w:ascii="Times New Roman" w:hAnsi="Times New Roman"/>
          <w:sz w:val="24"/>
          <w:szCs w:val="24"/>
        </w:rPr>
        <w:t>s</w:t>
      </w:r>
      <w:r w:rsidRPr="00B30DB2">
        <w:rPr>
          <w:rFonts w:ascii="Times New Roman" w:hAnsi="Times New Roman"/>
          <w:sz w:val="24"/>
          <w:szCs w:val="24"/>
        </w:rPr>
        <w:t xml:space="preserve">tume designs, recreating to a substantial extent the look and sound of the licensed movie version of </w:t>
      </w:r>
      <w:r w:rsidRPr="00B30DB2">
        <w:rPr>
          <w:rFonts w:ascii="Times New Roman" w:hAnsi="Times New Roman"/>
          <w:i/>
          <w:iCs/>
          <w:sz w:val="24"/>
          <w:szCs w:val="24"/>
        </w:rPr>
        <w:t xml:space="preserve">Kismet.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While it was not inappropriate to consider the creativity of producers, performers and others i</w:t>
      </w:r>
      <w:r w:rsidRPr="00B30DB2">
        <w:rPr>
          <w:rFonts w:ascii="Times New Roman" w:hAnsi="Times New Roman"/>
          <w:sz w:val="24"/>
          <w:szCs w:val="24"/>
        </w:rPr>
        <w:t>n</w:t>
      </w:r>
      <w:r w:rsidRPr="00B30DB2">
        <w:rPr>
          <w:rFonts w:ascii="Times New Roman" w:hAnsi="Times New Roman"/>
          <w:sz w:val="24"/>
          <w:szCs w:val="24"/>
        </w:rPr>
        <w:t xml:space="preserve">volved in staging and adapting excerpts from </w:t>
      </w:r>
      <w:r w:rsidRPr="00B30DB2">
        <w:rPr>
          <w:rFonts w:ascii="Times New Roman" w:hAnsi="Times New Roman"/>
          <w:i/>
          <w:iCs/>
          <w:sz w:val="24"/>
          <w:szCs w:val="24"/>
        </w:rPr>
        <w:t>Kismet</w:t>
      </w:r>
      <w:r w:rsidRPr="00B30DB2">
        <w:rPr>
          <w:rFonts w:ascii="Times New Roman" w:hAnsi="Times New Roman"/>
          <w:sz w:val="24"/>
          <w:szCs w:val="24"/>
        </w:rPr>
        <w:t xml:space="preserve"> for use in </w:t>
      </w:r>
      <w:r w:rsidRPr="00B30DB2">
        <w:rPr>
          <w:rFonts w:ascii="Times New Roman" w:hAnsi="Times New Roman"/>
          <w:i/>
          <w:iCs/>
          <w:sz w:val="24"/>
          <w:szCs w:val="24"/>
        </w:rPr>
        <w:t>Hallelujah Hollywood</w:t>
      </w:r>
      <w:r w:rsidRPr="00B30DB2">
        <w:rPr>
          <w:rFonts w:ascii="Times New Roman" w:hAnsi="Times New Roman"/>
          <w:sz w:val="24"/>
          <w:szCs w:val="24"/>
        </w:rPr>
        <w:t xml:space="preserve">, the district court erred in weighing these contributions so heavily. </w:t>
      </w:r>
      <w:r w:rsidR="00985C05">
        <w:rPr>
          <w:rFonts w:ascii="Times New Roman" w:hAnsi="Times New Roman"/>
          <w:sz w:val="24"/>
          <w:szCs w:val="24"/>
        </w:rPr>
        <w:t xml:space="preserve"> </w:t>
      </w:r>
      <w:r w:rsidRPr="00B30DB2">
        <w:rPr>
          <w:rFonts w:ascii="Times New Roman" w:hAnsi="Times New Roman"/>
          <w:sz w:val="24"/>
          <w:szCs w:val="24"/>
        </w:rPr>
        <w:t xml:space="preserve">In performing the apportionment, the benefit of the doubt must always be given to the plaintiff, not the defendant.  And while the apportionment may take into account the role of </w:t>
      </w:r>
      <w:proofErr w:type="spellStart"/>
      <w:r w:rsidRPr="00B30DB2">
        <w:rPr>
          <w:rFonts w:ascii="Times New Roman" w:hAnsi="Times New Roman"/>
          <w:sz w:val="24"/>
          <w:szCs w:val="24"/>
        </w:rPr>
        <w:t>uncopyrightable</w:t>
      </w:r>
      <w:proofErr w:type="spellEnd"/>
      <w:r w:rsidRPr="00B30DB2">
        <w:rPr>
          <w:rFonts w:ascii="Times New Roman" w:hAnsi="Times New Roman"/>
          <w:sz w:val="24"/>
          <w:szCs w:val="24"/>
        </w:rPr>
        <w:t xml:space="preserve"> elements of a work in generating that work's pro</w:t>
      </w:r>
      <w:r w:rsidRPr="00B30DB2">
        <w:rPr>
          <w:rFonts w:ascii="Times New Roman" w:hAnsi="Times New Roman"/>
          <w:sz w:val="24"/>
          <w:szCs w:val="24"/>
        </w:rPr>
        <w:t>f</w:t>
      </w:r>
      <w:r w:rsidRPr="00B30DB2">
        <w:rPr>
          <w:rFonts w:ascii="Times New Roman" w:hAnsi="Times New Roman"/>
          <w:sz w:val="24"/>
          <w:szCs w:val="24"/>
        </w:rPr>
        <w:t xml:space="preserve">its, </w:t>
      </w:r>
      <w:r w:rsidRPr="00B30DB2">
        <w:rPr>
          <w:rFonts w:ascii="Times New Roman" w:hAnsi="Times New Roman"/>
          <w:i/>
          <w:iCs/>
          <w:sz w:val="24"/>
          <w:szCs w:val="24"/>
        </w:rPr>
        <w:t>see Sheldon</w:t>
      </w:r>
      <w:r w:rsidRPr="00B30DB2">
        <w:rPr>
          <w:rFonts w:ascii="Times New Roman" w:hAnsi="Times New Roman"/>
          <w:sz w:val="24"/>
          <w:szCs w:val="24"/>
        </w:rPr>
        <w:t>, 106 F.2d at 50-51 (considering role of movie's actors, scenery, producers and dire</w:t>
      </w:r>
      <w:r w:rsidRPr="00B30DB2">
        <w:rPr>
          <w:rFonts w:ascii="Times New Roman" w:hAnsi="Times New Roman"/>
          <w:sz w:val="24"/>
          <w:szCs w:val="24"/>
        </w:rPr>
        <w:t>c</w:t>
      </w:r>
      <w:r w:rsidRPr="00B30DB2">
        <w:rPr>
          <w:rFonts w:ascii="Times New Roman" w:hAnsi="Times New Roman"/>
          <w:sz w:val="24"/>
          <w:szCs w:val="24"/>
        </w:rPr>
        <w:t xml:space="preserve">tors); </w:t>
      </w:r>
      <w:r w:rsidR="00985C05">
        <w:rPr>
          <w:rFonts w:ascii="Times New Roman" w:hAnsi="Times New Roman"/>
          <w:i/>
          <w:iCs/>
          <w:sz w:val="24"/>
          <w:szCs w:val="24"/>
        </w:rPr>
        <w:t xml:space="preserve">cf. </w:t>
      </w:r>
      <w:r w:rsidRPr="00B30DB2">
        <w:rPr>
          <w:rFonts w:ascii="Times New Roman" w:hAnsi="Times New Roman"/>
          <w:i/>
          <w:iCs/>
          <w:sz w:val="24"/>
          <w:szCs w:val="24"/>
        </w:rPr>
        <w:t>McCulloch v. Albert E. Price, Inc.</w:t>
      </w:r>
      <w:r w:rsidRPr="00B30DB2">
        <w:rPr>
          <w:rFonts w:ascii="Times New Roman" w:hAnsi="Times New Roman"/>
          <w:sz w:val="24"/>
          <w:szCs w:val="24"/>
        </w:rPr>
        <w:t>, 823 F.2d 316, 320 (9th Cir. 1987) (substantial simila</w:t>
      </w:r>
      <w:r w:rsidRPr="00B30DB2">
        <w:rPr>
          <w:rFonts w:ascii="Times New Roman" w:hAnsi="Times New Roman"/>
          <w:sz w:val="24"/>
          <w:szCs w:val="24"/>
        </w:rPr>
        <w:t>r</w:t>
      </w:r>
      <w:r w:rsidRPr="00B30DB2">
        <w:rPr>
          <w:rFonts w:ascii="Times New Roman" w:hAnsi="Times New Roman"/>
          <w:sz w:val="24"/>
          <w:szCs w:val="24"/>
        </w:rPr>
        <w:t xml:space="preserve">ity analysis can include examination of </w:t>
      </w:r>
      <w:proofErr w:type="spellStart"/>
      <w:r w:rsidRPr="00B30DB2">
        <w:rPr>
          <w:rFonts w:ascii="Times New Roman" w:hAnsi="Times New Roman"/>
          <w:sz w:val="24"/>
          <w:szCs w:val="24"/>
        </w:rPr>
        <w:t>uncopyrightable</w:t>
      </w:r>
      <w:proofErr w:type="spellEnd"/>
      <w:r w:rsidRPr="00B30DB2">
        <w:rPr>
          <w:rFonts w:ascii="Times New Roman" w:hAnsi="Times New Roman"/>
          <w:sz w:val="24"/>
          <w:szCs w:val="24"/>
        </w:rPr>
        <w:t xml:space="preserve"> elements), the apportionment should not place too high a value on the defendants' staging of the work, at the expense of undervaluing the plaintiffs' more substantive creative contributions.</w:t>
      </w:r>
      <w:r w:rsidR="005D2BB7" w:rsidRPr="00B30DB2">
        <w:rPr>
          <w:rFonts w:ascii="Times New Roman" w:hAnsi="Times New Roman"/>
          <w:sz w:val="24"/>
          <w:szCs w:val="24"/>
        </w:rPr>
        <w:t xml:space="preserve"> </w:t>
      </w:r>
      <w:r w:rsidRPr="00B30DB2">
        <w:rPr>
          <w:rFonts w:ascii="Times New Roman" w:hAnsi="Times New Roman"/>
          <w:sz w:val="24"/>
          <w:szCs w:val="24"/>
        </w:rPr>
        <w:t xml:space="preserve"> Production contributions involving expensive costumes and lavish sets will largely be taken into account when deducting the defendants' costs. Indeed, defendants concede that had they produced </w:t>
      </w:r>
      <w:r w:rsidRPr="00B30DB2">
        <w:rPr>
          <w:rFonts w:ascii="Times New Roman" w:hAnsi="Times New Roman"/>
          <w:i/>
          <w:iCs/>
          <w:sz w:val="24"/>
          <w:szCs w:val="24"/>
        </w:rPr>
        <w:t xml:space="preserve">Kismet in </w:t>
      </w:r>
      <w:proofErr w:type="spellStart"/>
      <w:r w:rsidRPr="00B30DB2">
        <w:rPr>
          <w:rFonts w:ascii="Times New Roman" w:hAnsi="Times New Roman"/>
          <w:i/>
          <w:iCs/>
          <w:sz w:val="24"/>
          <w:szCs w:val="24"/>
        </w:rPr>
        <w:t>toto</w:t>
      </w:r>
      <w:proofErr w:type="spellEnd"/>
      <w:r w:rsidRPr="00B30DB2">
        <w:rPr>
          <w:rFonts w:ascii="Times New Roman" w:hAnsi="Times New Roman"/>
          <w:sz w:val="24"/>
          <w:szCs w:val="24"/>
        </w:rPr>
        <w:t>, it would have been proper for the district court to award 100% of their profits, despite their own creative efforts in staging such a pr</w:t>
      </w:r>
      <w:r w:rsidRPr="00B30DB2">
        <w:rPr>
          <w:rFonts w:ascii="Times New Roman" w:hAnsi="Times New Roman"/>
          <w:sz w:val="24"/>
          <w:szCs w:val="24"/>
        </w:rPr>
        <w:t>o</w:t>
      </w:r>
      <w:r w:rsidRPr="00B30DB2">
        <w:rPr>
          <w:rFonts w:ascii="Times New Roman" w:hAnsi="Times New Roman"/>
          <w:sz w:val="24"/>
          <w:szCs w:val="24"/>
        </w:rPr>
        <w:t xml:space="preserve">duction.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The district court found that defendants' staging of the </w:t>
      </w:r>
      <w:r w:rsidRPr="00B30DB2">
        <w:rPr>
          <w:rFonts w:ascii="Times New Roman" w:hAnsi="Times New Roman"/>
          <w:i/>
          <w:iCs/>
          <w:sz w:val="24"/>
          <w:szCs w:val="24"/>
        </w:rPr>
        <w:t>Kismet</w:t>
      </w:r>
      <w:r w:rsidRPr="00B30DB2">
        <w:rPr>
          <w:rFonts w:ascii="Times New Roman" w:hAnsi="Times New Roman"/>
          <w:sz w:val="24"/>
          <w:szCs w:val="24"/>
        </w:rPr>
        <w:t xml:space="preserve"> excerpts was highly significant to Act </w:t>
      </w:r>
      <w:proofErr w:type="spellStart"/>
      <w:r w:rsidRPr="00B30DB2">
        <w:rPr>
          <w:rFonts w:ascii="Times New Roman" w:hAnsi="Times New Roman"/>
          <w:sz w:val="24"/>
          <w:szCs w:val="24"/>
        </w:rPr>
        <w:t>IV's</w:t>
      </w:r>
      <w:proofErr w:type="spellEnd"/>
      <w:r w:rsidRPr="00B30DB2">
        <w:rPr>
          <w:rFonts w:ascii="Times New Roman" w:hAnsi="Times New Roman"/>
          <w:sz w:val="24"/>
          <w:szCs w:val="24"/>
        </w:rPr>
        <w:t xml:space="preserve"> success. While we believe that a defendant's efforts in staging an infringing production will generally not support more than a </w:t>
      </w:r>
      <w:r w:rsidRPr="00B30DB2">
        <w:rPr>
          <w:rFonts w:ascii="Times New Roman" w:hAnsi="Times New Roman"/>
          <w:i/>
          <w:iCs/>
          <w:sz w:val="24"/>
          <w:szCs w:val="24"/>
        </w:rPr>
        <w:t xml:space="preserve">de </w:t>
      </w:r>
      <w:proofErr w:type="spellStart"/>
      <w:r w:rsidRPr="00B30DB2">
        <w:rPr>
          <w:rFonts w:ascii="Times New Roman" w:hAnsi="Times New Roman"/>
          <w:i/>
          <w:iCs/>
          <w:sz w:val="24"/>
          <w:szCs w:val="24"/>
        </w:rPr>
        <w:t>minimis</w:t>
      </w:r>
      <w:proofErr w:type="spellEnd"/>
      <w:r w:rsidRPr="00B30DB2">
        <w:rPr>
          <w:rFonts w:ascii="Times New Roman" w:hAnsi="Times New Roman"/>
          <w:sz w:val="24"/>
          <w:szCs w:val="24"/>
        </w:rPr>
        <w:t xml:space="preserve"> deduction from the plaintiff's share of the profits, we cannot say the district court's conclusion that the defen</w:t>
      </w:r>
      <w:r w:rsidR="005D2BB7" w:rsidRPr="00B30DB2">
        <w:rPr>
          <w:rFonts w:ascii="Times New Roman" w:hAnsi="Times New Roman"/>
          <w:sz w:val="24"/>
          <w:szCs w:val="24"/>
        </w:rPr>
        <w:t xml:space="preserve">dants' </w:t>
      </w:r>
      <w:r w:rsidRPr="00B30DB2">
        <w:rPr>
          <w:rFonts w:ascii="Times New Roman" w:hAnsi="Times New Roman"/>
          <w:sz w:val="24"/>
          <w:szCs w:val="24"/>
        </w:rPr>
        <w:t>contributions were substantial in this case is clearly erroneous. We recognize that there will be shows in which the attraction of the co</w:t>
      </w:r>
      <w:r w:rsidRPr="00B30DB2">
        <w:rPr>
          <w:rFonts w:ascii="Times New Roman" w:hAnsi="Times New Roman"/>
          <w:sz w:val="24"/>
          <w:szCs w:val="24"/>
        </w:rPr>
        <w:t>s</w:t>
      </w:r>
      <w:r w:rsidRPr="00B30DB2">
        <w:rPr>
          <w:rFonts w:ascii="Times New Roman" w:hAnsi="Times New Roman"/>
          <w:sz w:val="24"/>
          <w:szCs w:val="24"/>
        </w:rPr>
        <w:t>tumes, scenery or performers outweighs the attraction of the music or dialogue. On the other hand, a producer's ability to stage a lavish presentation, or a performer's ability to fill a hall from the dra</w:t>
      </w:r>
      <w:r w:rsidRPr="00B30DB2">
        <w:rPr>
          <w:rFonts w:ascii="Times New Roman" w:hAnsi="Times New Roman"/>
          <w:sz w:val="24"/>
          <w:szCs w:val="24"/>
        </w:rPr>
        <w:t>w</w:t>
      </w:r>
      <w:r w:rsidRPr="00B30DB2">
        <w:rPr>
          <w:rFonts w:ascii="Times New Roman" w:hAnsi="Times New Roman"/>
          <w:sz w:val="24"/>
          <w:szCs w:val="24"/>
        </w:rPr>
        <w:t xml:space="preserve">ing power of her name alone, is not a license to use freely the copyrighted works of others.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We conclude that apportioning 75% of Act IV to the defendants grossly undervalues the impo</w:t>
      </w:r>
      <w:r w:rsidRPr="00B30DB2">
        <w:rPr>
          <w:rFonts w:ascii="Times New Roman" w:hAnsi="Times New Roman"/>
          <w:sz w:val="24"/>
          <w:szCs w:val="24"/>
        </w:rPr>
        <w:t>r</w:t>
      </w:r>
      <w:r w:rsidRPr="00B30DB2">
        <w:rPr>
          <w:rFonts w:ascii="Times New Roman" w:hAnsi="Times New Roman"/>
          <w:sz w:val="24"/>
          <w:szCs w:val="24"/>
        </w:rPr>
        <w:t xml:space="preserve">tance of the plaintiffs' contributions. Act IV was essentially </w:t>
      </w:r>
      <w:r w:rsidRPr="00B30DB2">
        <w:rPr>
          <w:rFonts w:ascii="Times New Roman" w:hAnsi="Times New Roman"/>
          <w:i/>
          <w:iCs/>
          <w:sz w:val="24"/>
          <w:szCs w:val="24"/>
        </w:rPr>
        <w:t>Kismet</w:t>
      </w:r>
      <w:r w:rsidR="007E02A0">
        <w:rPr>
          <w:rFonts w:ascii="Times New Roman" w:hAnsi="Times New Roman"/>
          <w:sz w:val="24"/>
          <w:szCs w:val="24"/>
        </w:rPr>
        <w:t xml:space="preserve">, [*1550] </w:t>
      </w:r>
      <w:r w:rsidRPr="00B30DB2">
        <w:rPr>
          <w:rFonts w:ascii="Times New Roman" w:hAnsi="Times New Roman"/>
          <w:sz w:val="24"/>
          <w:szCs w:val="24"/>
        </w:rPr>
        <w:t xml:space="preserve">with contributions by the defendants; it was not essentially a new work incidentally plagiarizing elements of </w:t>
      </w:r>
      <w:r w:rsidRPr="00B30DB2">
        <w:rPr>
          <w:rFonts w:ascii="Times New Roman" w:hAnsi="Times New Roman"/>
          <w:i/>
          <w:iCs/>
          <w:sz w:val="24"/>
          <w:szCs w:val="24"/>
        </w:rPr>
        <w:t>Kismet</w:t>
      </w:r>
      <w:r w:rsidRPr="00B30DB2">
        <w:rPr>
          <w:rFonts w:ascii="Times New Roman" w:hAnsi="Times New Roman"/>
          <w:sz w:val="24"/>
          <w:szCs w:val="24"/>
        </w:rPr>
        <w:t xml:space="preserve">. </w:t>
      </w:r>
      <w:r w:rsidR="007E02A0">
        <w:rPr>
          <w:rFonts w:ascii="Times New Roman" w:hAnsi="Times New Roman"/>
          <w:sz w:val="24"/>
          <w:szCs w:val="24"/>
        </w:rPr>
        <w:t xml:space="preserve"> </w:t>
      </w:r>
      <w:r w:rsidRPr="00B30DB2">
        <w:rPr>
          <w:rFonts w:ascii="Times New Roman" w:hAnsi="Times New Roman"/>
          <w:sz w:val="24"/>
          <w:szCs w:val="24"/>
        </w:rPr>
        <w:t>A fairer apportionment, giving due regard to the district court's findings, attributes 75% of Act IV to elements taken from the plaintiffs and 25% to the defendants' contributions.</w:t>
      </w:r>
      <w:r w:rsidR="005D2BB7" w:rsidRPr="00B30DB2">
        <w:rPr>
          <w:rStyle w:val="FootnoteReference"/>
          <w:rFonts w:ascii="Times New Roman" w:hAnsi="Times New Roman"/>
          <w:sz w:val="24"/>
          <w:szCs w:val="24"/>
        </w:rPr>
        <w:footnoteReference w:id="2"/>
      </w:r>
      <w:r w:rsidRPr="00B30DB2">
        <w:rPr>
          <w:rFonts w:ascii="Times New Roman" w:hAnsi="Times New Roman"/>
          <w:sz w:val="24"/>
          <w:szCs w:val="24"/>
        </w:rPr>
        <w:t xml:space="preserve">  </w:t>
      </w:r>
    </w:p>
    <w:p w:rsidR="00406238" w:rsidRPr="00B30DB2" w:rsidRDefault="00406238" w:rsidP="00C07AF4">
      <w:pPr>
        <w:widowControl/>
        <w:jc w:val="both"/>
        <w:rPr>
          <w:rFonts w:ascii="Times New Roman" w:hAnsi="Times New Roman"/>
          <w:sz w:val="24"/>
          <w:szCs w:val="24"/>
        </w:rPr>
      </w:pPr>
    </w:p>
    <w:p w:rsidR="00406238" w:rsidRPr="00B30DB2" w:rsidRDefault="00C87686" w:rsidP="00C07AF4">
      <w:pPr>
        <w:widowControl/>
        <w:spacing w:before="120"/>
        <w:jc w:val="both"/>
        <w:rPr>
          <w:rFonts w:ascii="Times New Roman" w:hAnsi="Times New Roman"/>
          <w:sz w:val="24"/>
          <w:szCs w:val="24"/>
        </w:rPr>
      </w:pPr>
      <w:r w:rsidRPr="00B30DB2">
        <w:rPr>
          <w:rFonts w:ascii="Times New Roman" w:hAnsi="Times New Roman"/>
          <w:sz w:val="24"/>
          <w:szCs w:val="24"/>
        </w:rPr>
        <w:t xml:space="preserve">2.  Indirect Profits </w:t>
      </w:r>
    </w:p>
    <w:p w:rsidR="00406238" w:rsidRPr="00B30DB2" w:rsidRDefault="00C87686" w:rsidP="00C07AF4">
      <w:pPr>
        <w:widowControl/>
        <w:spacing w:before="120"/>
        <w:ind w:firstLine="360"/>
        <w:jc w:val="both"/>
        <w:rPr>
          <w:rFonts w:ascii="Times New Roman" w:hAnsi="Times New Roman"/>
          <w:sz w:val="24"/>
          <w:szCs w:val="24"/>
          <w:vertAlign w:val="superscript"/>
        </w:rPr>
      </w:pPr>
      <w:r w:rsidRPr="00B30DB2">
        <w:rPr>
          <w:rFonts w:ascii="Times New Roman" w:hAnsi="Times New Roman"/>
          <w:sz w:val="24"/>
          <w:szCs w:val="24"/>
        </w:rPr>
        <w:t xml:space="preserve">In </w:t>
      </w:r>
      <w:r w:rsidRPr="00B30DB2">
        <w:rPr>
          <w:rFonts w:ascii="Times New Roman" w:hAnsi="Times New Roman"/>
          <w:i/>
          <w:iCs/>
          <w:sz w:val="24"/>
          <w:szCs w:val="24"/>
        </w:rPr>
        <w:t>Frank Music I</w:t>
      </w:r>
      <w:r w:rsidRPr="00B30DB2">
        <w:rPr>
          <w:rFonts w:ascii="Times New Roman" w:hAnsi="Times New Roman"/>
          <w:sz w:val="24"/>
          <w:szCs w:val="24"/>
        </w:rPr>
        <w:t>, we held that the plaintiffs were entitled to recover, in addition to direct pro</w:t>
      </w:r>
      <w:r w:rsidRPr="00B30DB2">
        <w:rPr>
          <w:rFonts w:ascii="Times New Roman" w:hAnsi="Times New Roman"/>
          <w:sz w:val="24"/>
          <w:szCs w:val="24"/>
        </w:rPr>
        <w:t>f</w:t>
      </w:r>
      <w:r w:rsidRPr="00B30DB2">
        <w:rPr>
          <w:rFonts w:ascii="Times New Roman" w:hAnsi="Times New Roman"/>
          <w:sz w:val="24"/>
          <w:szCs w:val="24"/>
        </w:rPr>
        <w:t>its, a proportion of ascertainable indirect profits from defendants' hotel and gaming operations a</w:t>
      </w:r>
      <w:r w:rsidRPr="00B30DB2">
        <w:rPr>
          <w:rFonts w:ascii="Times New Roman" w:hAnsi="Times New Roman"/>
          <w:sz w:val="24"/>
          <w:szCs w:val="24"/>
        </w:rPr>
        <w:t>t</w:t>
      </w:r>
      <w:r w:rsidRPr="00B30DB2">
        <w:rPr>
          <w:rFonts w:ascii="Times New Roman" w:hAnsi="Times New Roman"/>
          <w:sz w:val="24"/>
          <w:szCs w:val="24"/>
        </w:rPr>
        <w:t xml:space="preserve">tributable to the promotional value of </w:t>
      </w:r>
      <w:r w:rsidRPr="00B30DB2">
        <w:rPr>
          <w:rFonts w:ascii="Times New Roman" w:hAnsi="Times New Roman"/>
          <w:i/>
          <w:iCs/>
          <w:sz w:val="24"/>
          <w:szCs w:val="24"/>
        </w:rPr>
        <w:t>Hallelujah Hollywood</w:t>
      </w:r>
      <w:r w:rsidRPr="00B30DB2">
        <w:rPr>
          <w:rFonts w:ascii="Times New Roman" w:hAnsi="Times New Roman"/>
          <w:sz w:val="24"/>
          <w:szCs w:val="24"/>
        </w:rPr>
        <w:t>. The district court considered the rel</w:t>
      </w:r>
      <w:r w:rsidRPr="00B30DB2">
        <w:rPr>
          <w:rFonts w:ascii="Times New Roman" w:hAnsi="Times New Roman"/>
          <w:sz w:val="24"/>
          <w:szCs w:val="24"/>
        </w:rPr>
        <w:t>a</w:t>
      </w:r>
      <w:r w:rsidRPr="00B30DB2">
        <w:rPr>
          <w:rFonts w:ascii="Times New Roman" w:hAnsi="Times New Roman"/>
          <w:sz w:val="24"/>
          <w:szCs w:val="24"/>
        </w:rPr>
        <w:t xml:space="preserve">tive contributions of </w:t>
      </w:r>
      <w:r w:rsidRPr="00B30DB2">
        <w:rPr>
          <w:rFonts w:ascii="Times New Roman" w:hAnsi="Times New Roman"/>
          <w:i/>
          <w:iCs/>
          <w:sz w:val="24"/>
          <w:szCs w:val="24"/>
        </w:rPr>
        <w:t>Hallelujah Hollywood</w:t>
      </w:r>
      <w:r w:rsidRPr="00B30DB2">
        <w:rPr>
          <w:rFonts w:ascii="Times New Roman" w:hAnsi="Times New Roman"/>
          <w:sz w:val="24"/>
          <w:szCs w:val="24"/>
        </w:rPr>
        <w:t xml:space="preserve"> and other factors contributing to the hotel's profits, i</w:t>
      </w:r>
      <w:r w:rsidRPr="00B30DB2">
        <w:rPr>
          <w:rFonts w:ascii="Times New Roman" w:hAnsi="Times New Roman"/>
          <w:sz w:val="24"/>
          <w:szCs w:val="24"/>
        </w:rPr>
        <w:t>n</w:t>
      </w:r>
      <w:r w:rsidRPr="00B30DB2">
        <w:rPr>
          <w:rFonts w:ascii="Times New Roman" w:hAnsi="Times New Roman"/>
          <w:sz w:val="24"/>
          <w:szCs w:val="24"/>
        </w:rPr>
        <w:t>cluding the hotel's guest accommodations, restaurants, cocktail lounges, star entertainment in the "Celebrity" room, the movie theater, Jai Alai, the casino itself, convention and banquet facilities, tennis courts, swimming pools, gym and sauna, and also the role of advertising and general prom</w:t>
      </w:r>
      <w:r w:rsidRPr="00B30DB2">
        <w:rPr>
          <w:rFonts w:ascii="Times New Roman" w:hAnsi="Times New Roman"/>
          <w:sz w:val="24"/>
          <w:szCs w:val="24"/>
        </w:rPr>
        <w:t>o</w:t>
      </w:r>
      <w:r w:rsidRPr="00B30DB2">
        <w:rPr>
          <w:rFonts w:ascii="Times New Roman" w:hAnsi="Times New Roman"/>
          <w:sz w:val="24"/>
          <w:szCs w:val="24"/>
        </w:rPr>
        <w:t xml:space="preserve">tional activities in bringing customers to the hotel. The district court concluded that two percent of MGM Grand's indirect profit was attributable to </w:t>
      </w:r>
      <w:r w:rsidRPr="00B30DB2">
        <w:rPr>
          <w:rFonts w:ascii="Times New Roman" w:hAnsi="Times New Roman"/>
          <w:i/>
          <w:iCs/>
          <w:sz w:val="24"/>
          <w:szCs w:val="24"/>
        </w:rPr>
        <w:t>Hallelujah Hollywood</w:t>
      </w:r>
      <w:r w:rsidRPr="00B30DB2">
        <w:rPr>
          <w:rFonts w:ascii="Times New Roman" w:hAnsi="Times New Roman"/>
          <w:sz w:val="24"/>
          <w:szCs w:val="24"/>
        </w:rPr>
        <w:t>. In light of the general pr</w:t>
      </w:r>
      <w:r w:rsidRPr="00B30DB2">
        <w:rPr>
          <w:rFonts w:ascii="Times New Roman" w:hAnsi="Times New Roman"/>
          <w:sz w:val="24"/>
          <w:szCs w:val="24"/>
        </w:rPr>
        <w:t>o</w:t>
      </w:r>
      <w:r w:rsidRPr="00B30DB2">
        <w:rPr>
          <w:rFonts w:ascii="Times New Roman" w:hAnsi="Times New Roman"/>
          <w:sz w:val="24"/>
          <w:szCs w:val="24"/>
        </w:rPr>
        <w:t xml:space="preserve">motion and the wide variety of attractions available at MGM Grand, this conclusion is not clearly erroneous. </w:t>
      </w:r>
      <w:r w:rsidR="005D2BB7" w:rsidRPr="00B30DB2">
        <w:rPr>
          <w:rStyle w:val="FootnoteReference"/>
          <w:rFonts w:ascii="Times New Roman" w:hAnsi="Times New Roman"/>
          <w:sz w:val="24"/>
          <w:szCs w:val="24"/>
        </w:rPr>
        <w:footnoteReference w:id="3"/>
      </w:r>
    </w:p>
    <w:p w:rsidR="005D2BB7" w:rsidRPr="00B30DB2" w:rsidRDefault="005D2BB7" w:rsidP="00C07AF4">
      <w:pPr>
        <w:widowControl/>
        <w:spacing w:before="120"/>
        <w:ind w:firstLine="360"/>
        <w:jc w:val="both"/>
        <w:rPr>
          <w:rFonts w:ascii="Times New Roman" w:hAnsi="Times New Roman"/>
          <w:sz w:val="24"/>
          <w:szCs w:val="24"/>
        </w:rPr>
      </w:pPr>
    </w:p>
    <w:p w:rsidR="004A5C76" w:rsidRDefault="00C87686" w:rsidP="004A5C76">
      <w:pPr>
        <w:widowControl/>
        <w:spacing w:before="120"/>
        <w:ind w:firstLine="360"/>
        <w:jc w:val="center"/>
        <w:rPr>
          <w:rFonts w:ascii="Times New Roman" w:hAnsi="Times New Roman"/>
          <w:i/>
          <w:iCs/>
          <w:sz w:val="24"/>
          <w:szCs w:val="24"/>
        </w:rPr>
      </w:pPr>
      <w:r w:rsidRPr="00B30DB2">
        <w:rPr>
          <w:rFonts w:ascii="Times New Roman" w:hAnsi="Times New Roman"/>
          <w:sz w:val="24"/>
          <w:szCs w:val="24"/>
        </w:rPr>
        <w:t xml:space="preserve">B.  </w:t>
      </w:r>
      <w:r w:rsidRPr="00B30DB2">
        <w:rPr>
          <w:rFonts w:ascii="Times New Roman" w:hAnsi="Times New Roman"/>
          <w:i/>
          <w:iCs/>
          <w:sz w:val="24"/>
          <w:szCs w:val="24"/>
        </w:rPr>
        <w:t>Prejudgment Interest</w:t>
      </w:r>
    </w:p>
    <w:p w:rsidR="00406238" w:rsidRPr="00B30DB2" w:rsidRDefault="004A5C76" w:rsidP="00C07AF4">
      <w:pPr>
        <w:widowControl/>
        <w:spacing w:before="120"/>
        <w:ind w:firstLine="360"/>
        <w:jc w:val="both"/>
        <w:rPr>
          <w:rFonts w:ascii="Times New Roman" w:hAnsi="Times New Roman"/>
          <w:sz w:val="24"/>
          <w:szCs w:val="24"/>
        </w:rPr>
      </w:pPr>
      <w:r>
        <w:rPr>
          <w:rFonts w:ascii="Times New Roman" w:hAnsi="Times New Roman"/>
          <w:sz w:val="24"/>
          <w:szCs w:val="24"/>
        </w:rPr>
        <w:t xml:space="preserve">* * * </w:t>
      </w:r>
      <w:r w:rsidR="005D2BB7" w:rsidRPr="00B30DB2">
        <w:rPr>
          <w:rFonts w:ascii="Times New Roman" w:hAnsi="Times New Roman"/>
          <w:sz w:val="24"/>
          <w:szCs w:val="24"/>
        </w:rPr>
        <w:t>I</w:t>
      </w:r>
      <w:r w:rsidR="00C87686" w:rsidRPr="00B30DB2">
        <w:rPr>
          <w:rFonts w:ascii="Times New Roman" w:hAnsi="Times New Roman"/>
          <w:sz w:val="24"/>
          <w:szCs w:val="24"/>
        </w:rPr>
        <w:t>nterpreting the 1909 Act in light of patent law doctrine existing at the time of its enac</w:t>
      </w:r>
      <w:r w:rsidR="00C87686" w:rsidRPr="00B30DB2">
        <w:rPr>
          <w:rFonts w:ascii="Times New Roman" w:hAnsi="Times New Roman"/>
          <w:sz w:val="24"/>
          <w:szCs w:val="24"/>
        </w:rPr>
        <w:t>t</w:t>
      </w:r>
      <w:r w:rsidR="00C87686" w:rsidRPr="00B30DB2">
        <w:rPr>
          <w:rFonts w:ascii="Times New Roman" w:hAnsi="Times New Roman"/>
          <w:sz w:val="24"/>
          <w:szCs w:val="24"/>
        </w:rPr>
        <w:t>ment and during much of its effective period, we cannot conclude that Congress intended from its silence that prejudgment interest would not be available under the 1909 Act.</w:t>
      </w:r>
      <w:r w:rsidR="005D2BB7" w:rsidRPr="00B30DB2">
        <w:rPr>
          <w:rFonts w:ascii="Times New Roman" w:hAnsi="Times New Roman"/>
          <w:sz w:val="24"/>
          <w:szCs w:val="24"/>
        </w:rPr>
        <w:t xml:space="preserve"> </w:t>
      </w:r>
      <w:r w:rsidR="00C87686" w:rsidRPr="00B30DB2">
        <w:rPr>
          <w:rFonts w:ascii="Times New Roman" w:hAnsi="Times New Roman"/>
          <w:sz w:val="24"/>
          <w:szCs w:val="24"/>
        </w:rPr>
        <w:t>Just as courts awarded prejudgment interest in order to provide adequate compensation to patent holders before the enac</w:t>
      </w:r>
      <w:r w:rsidR="00C87686" w:rsidRPr="00B30DB2">
        <w:rPr>
          <w:rFonts w:ascii="Times New Roman" w:hAnsi="Times New Roman"/>
          <w:sz w:val="24"/>
          <w:szCs w:val="24"/>
        </w:rPr>
        <w:t>t</w:t>
      </w:r>
      <w:r w:rsidR="00C87686" w:rsidRPr="00B30DB2">
        <w:rPr>
          <w:rFonts w:ascii="Times New Roman" w:hAnsi="Times New Roman"/>
          <w:sz w:val="24"/>
          <w:szCs w:val="24"/>
        </w:rPr>
        <w:t xml:space="preserve">ment of 35 U.S.C. </w:t>
      </w:r>
      <w:r w:rsidR="00B30DB2">
        <w:rPr>
          <w:rFonts w:ascii="Times New Roman" w:hAnsi="Times New Roman"/>
          <w:sz w:val="24"/>
          <w:szCs w:val="24"/>
        </w:rPr>
        <w:t>§</w:t>
      </w:r>
      <w:r w:rsidR="00C87686" w:rsidRPr="00B30DB2">
        <w:rPr>
          <w:rFonts w:ascii="Times New Roman" w:hAnsi="Times New Roman"/>
          <w:sz w:val="24"/>
          <w:szCs w:val="24"/>
        </w:rPr>
        <w:t xml:space="preserve"> 284, this same remedy should be available to copyright owners for the same purpose. </w:t>
      </w:r>
    </w:p>
    <w:p w:rsidR="001A3EBA"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 We therefore hold that prejudgment interest is an available remedy under the 1909 Act. Whether the circumstances of this case warrant the remedy is a separate question. The common-law rule during much of the effective period of the 1909 Act awarded prejudg</w:t>
      </w:r>
      <w:r w:rsidR="004A5C76">
        <w:rPr>
          <w:rFonts w:ascii="Times New Roman" w:hAnsi="Times New Roman"/>
          <w:sz w:val="24"/>
          <w:szCs w:val="24"/>
        </w:rPr>
        <w:t xml:space="preserve">ment interest only on [*1552] </w:t>
      </w:r>
      <w:r w:rsidRPr="00B30DB2">
        <w:rPr>
          <w:rFonts w:ascii="Times New Roman" w:hAnsi="Times New Roman"/>
          <w:sz w:val="24"/>
          <w:szCs w:val="24"/>
        </w:rPr>
        <w:t xml:space="preserve">damages that were liquidated or readily ascertainable by mathematical computations and did not rely on opinion or discretion. </w:t>
      </w:r>
      <w:r w:rsidR="001A3EBA" w:rsidRPr="00B30DB2">
        <w:rPr>
          <w:rFonts w:ascii="Times New Roman" w:hAnsi="Times New Roman"/>
          <w:sz w:val="24"/>
          <w:szCs w:val="24"/>
        </w:rPr>
        <w:t xml:space="preserve"> </w:t>
      </w:r>
      <w:r w:rsidRPr="00B30DB2">
        <w:rPr>
          <w:rFonts w:ascii="Times New Roman" w:hAnsi="Times New Roman"/>
          <w:sz w:val="24"/>
          <w:szCs w:val="24"/>
        </w:rPr>
        <w:t>But even where damages were not liquidated or readily asce</w:t>
      </w:r>
      <w:r w:rsidRPr="00B30DB2">
        <w:rPr>
          <w:rFonts w:ascii="Times New Roman" w:hAnsi="Times New Roman"/>
          <w:sz w:val="24"/>
          <w:szCs w:val="24"/>
        </w:rPr>
        <w:t>r</w:t>
      </w:r>
      <w:r w:rsidRPr="00B30DB2">
        <w:rPr>
          <w:rFonts w:ascii="Times New Roman" w:hAnsi="Times New Roman"/>
          <w:sz w:val="24"/>
          <w:szCs w:val="24"/>
        </w:rPr>
        <w:t xml:space="preserve">tainable, courts had the power to award prejudgment interest on </w:t>
      </w:r>
      <w:proofErr w:type="spellStart"/>
      <w:r w:rsidRPr="00B30DB2">
        <w:rPr>
          <w:rFonts w:ascii="Times New Roman" w:hAnsi="Times New Roman"/>
          <w:sz w:val="24"/>
          <w:szCs w:val="24"/>
        </w:rPr>
        <w:t>unliquidated</w:t>
      </w:r>
      <w:proofErr w:type="spellEnd"/>
      <w:r w:rsidRPr="00B30DB2">
        <w:rPr>
          <w:rFonts w:ascii="Times New Roman" w:hAnsi="Times New Roman"/>
          <w:sz w:val="24"/>
          <w:szCs w:val="24"/>
        </w:rPr>
        <w:t xml:space="preserve"> damages when nece</w:t>
      </w:r>
      <w:r w:rsidRPr="00B30DB2">
        <w:rPr>
          <w:rFonts w:ascii="Times New Roman" w:hAnsi="Times New Roman"/>
          <w:sz w:val="24"/>
          <w:szCs w:val="24"/>
        </w:rPr>
        <w:t>s</w:t>
      </w:r>
      <w:r w:rsidRPr="00B30DB2">
        <w:rPr>
          <w:rFonts w:ascii="Times New Roman" w:hAnsi="Times New Roman"/>
          <w:sz w:val="24"/>
          <w:szCs w:val="24"/>
        </w:rPr>
        <w:t xml:space="preserve">sary to compensate the plaintiff fairly.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Because the 1909 Act allows plaintiffs to recover only the greater of the defendant's profits </w:t>
      </w:r>
      <w:r w:rsidRPr="00B30DB2">
        <w:rPr>
          <w:rFonts w:ascii="Times New Roman" w:hAnsi="Times New Roman"/>
          <w:i/>
          <w:iCs/>
          <w:sz w:val="24"/>
          <w:szCs w:val="24"/>
        </w:rPr>
        <w:t>or</w:t>
      </w:r>
      <w:r w:rsidRPr="00B30DB2">
        <w:rPr>
          <w:rFonts w:ascii="Times New Roman" w:hAnsi="Times New Roman"/>
          <w:sz w:val="24"/>
          <w:szCs w:val="24"/>
        </w:rPr>
        <w:t xml:space="preserve"> the plaintiff's actual damages, an award of profits or damages under the 1909 Act will not necessa</w:t>
      </w:r>
      <w:r w:rsidRPr="00B30DB2">
        <w:rPr>
          <w:rFonts w:ascii="Times New Roman" w:hAnsi="Times New Roman"/>
          <w:sz w:val="24"/>
          <w:szCs w:val="24"/>
        </w:rPr>
        <w:t>r</w:t>
      </w:r>
      <w:r w:rsidR="004A5C76">
        <w:rPr>
          <w:rFonts w:ascii="Times New Roman" w:hAnsi="Times New Roman"/>
          <w:sz w:val="24"/>
          <w:szCs w:val="24"/>
        </w:rPr>
        <w:t xml:space="preserve">ily [**16] </w:t>
      </w:r>
      <w:r w:rsidRPr="00B30DB2">
        <w:rPr>
          <w:rFonts w:ascii="Times New Roman" w:hAnsi="Times New Roman"/>
          <w:sz w:val="24"/>
          <w:szCs w:val="24"/>
        </w:rPr>
        <w:t>be adequate to compensate a prevailing copyright owner.  Accordingly, we conclude pr</w:t>
      </w:r>
      <w:r w:rsidRPr="00B30DB2">
        <w:rPr>
          <w:rFonts w:ascii="Times New Roman" w:hAnsi="Times New Roman"/>
          <w:sz w:val="24"/>
          <w:szCs w:val="24"/>
        </w:rPr>
        <w:t>e</w:t>
      </w:r>
      <w:r w:rsidRPr="00B30DB2">
        <w:rPr>
          <w:rFonts w:ascii="Times New Roman" w:hAnsi="Times New Roman"/>
          <w:sz w:val="24"/>
          <w:szCs w:val="24"/>
        </w:rPr>
        <w:t xml:space="preserve">judgment interest ordinarily should be awarded. </w:t>
      </w:r>
    </w:p>
    <w:p w:rsidR="00406238" w:rsidRPr="00B30DB2" w:rsidRDefault="00C87686" w:rsidP="004A5C76">
      <w:pPr>
        <w:widowControl/>
        <w:spacing w:before="120"/>
        <w:ind w:firstLine="360"/>
        <w:jc w:val="both"/>
        <w:rPr>
          <w:rFonts w:ascii="Times New Roman" w:hAnsi="Times New Roman"/>
          <w:sz w:val="24"/>
          <w:szCs w:val="24"/>
        </w:rPr>
      </w:pPr>
      <w:r w:rsidRPr="00B30DB2">
        <w:rPr>
          <w:rFonts w:ascii="Times New Roman" w:hAnsi="Times New Roman"/>
          <w:sz w:val="24"/>
          <w:szCs w:val="24"/>
        </w:rPr>
        <w:t>Awarding prejudgment interest on the apportioned share of defendant's profits is consistent with the purposes underlying the profits remedy. Profits are awarded to the plaintiff not only to compe</w:t>
      </w:r>
      <w:r w:rsidRPr="00B30DB2">
        <w:rPr>
          <w:rFonts w:ascii="Times New Roman" w:hAnsi="Times New Roman"/>
          <w:sz w:val="24"/>
          <w:szCs w:val="24"/>
        </w:rPr>
        <w:t>n</w:t>
      </w:r>
      <w:r w:rsidRPr="00B30DB2">
        <w:rPr>
          <w:rFonts w:ascii="Times New Roman" w:hAnsi="Times New Roman"/>
          <w:sz w:val="24"/>
          <w:szCs w:val="24"/>
        </w:rPr>
        <w:t>sate for the plaintiff's injury, but also and primarily to prevent the defendant from being unjustly enriched by its infringing use of the plaintiff's property.</w:t>
      </w:r>
      <w:r w:rsidR="001A3EBA" w:rsidRPr="00B30DB2">
        <w:rPr>
          <w:rFonts w:ascii="Times New Roman" w:hAnsi="Times New Roman"/>
          <w:sz w:val="24"/>
          <w:szCs w:val="24"/>
        </w:rPr>
        <w:t xml:space="preserve"> </w:t>
      </w:r>
      <w:r w:rsidRPr="00B30DB2">
        <w:rPr>
          <w:rFonts w:ascii="Times New Roman" w:hAnsi="Times New Roman"/>
          <w:sz w:val="24"/>
          <w:szCs w:val="24"/>
        </w:rPr>
        <w:t xml:space="preserve"> For the </w:t>
      </w:r>
      <w:proofErr w:type="spellStart"/>
      <w:r w:rsidRPr="00B30DB2">
        <w:rPr>
          <w:rFonts w:ascii="Times New Roman" w:hAnsi="Times New Roman"/>
          <w:sz w:val="24"/>
          <w:szCs w:val="24"/>
        </w:rPr>
        <w:t>restitutionary</w:t>
      </w:r>
      <w:proofErr w:type="spellEnd"/>
      <w:r w:rsidRPr="00B30DB2">
        <w:rPr>
          <w:rFonts w:ascii="Times New Roman" w:hAnsi="Times New Roman"/>
          <w:sz w:val="24"/>
          <w:szCs w:val="24"/>
        </w:rPr>
        <w:t xml:space="preserve"> purpose of this re</w:t>
      </w:r>
      <w:r w:rsidRPr="00B30DB2">
        <w:rPr>
          <w:rFonts w:ascii="Times New Roman" w:hAnsi="Times New Roman"/>
          <w:sz w:val="24"/>
          <w:szCs w:val="24"/>
        </w:rPr>
        <w:t>m</w:t>
      </w:r>
      <w:r w:rsidRPr="00B30DB2">
        <w:rPr>
          <w:rFonts w:ascii="Times New Roman" w:hAnsi="Times New Roman"/>
          <w:sz w:val="24"/>
          <w:szCs w:val="24"/>
        </w:rPr>
        <w:t xml:space="preserve">edy to be served fully, the defendant generally should be required to turn over to the plaintiff not only the profits made from the use of his property, but also the interest on these profits, which can well exceed the profits themselves. </w:t>
      </w:r>
      <w:r w:rsidR="001A3EBA" w:rsidRPr="00B30DB2">
        <w:rPr>
          <w:rFonts w:ascii="Times New Roman" w:hAnsi="Times New Roman"/>
          <w:sz w:val="24"/>
          <w:szCs w:val="24"/>
        </w:rPr>
        <w:t xml:space="preserve"> </w:t>
      </w:r>
      <w:r w:rsidRPr="00B30DB2">
        <w:rPr>
          <w:rFonts w:ascii="Times New Roman" w:hAnsi="Times New Roman"/>
          <w:sz w:val="24"/>
          <w:szCs w:val="24"/>
        </w:rPr>
        <w:t>Indeed, one way to view this interest is as another form of ind</w:t>
      </w:r>
      <w:r w:rsidRPr="00B30DB2">
        <w:rPr>
          <w:rFonts w:ascii="Times New Roman" w:hAnsi="Times New Roman"/>
          <w:sz w:val="24"/>
          <w:szCs w:val="24"/>
        </w:rPr>
        <w:t>i</w:t>
      </w:r>
      <w:r w:rsidRPr="00B30DB2">
        <w:rPr>
          <w:rFonts w:ascii="Times New Roman" w:hAnsi="Times New Roman"/>
          <w:sz w:val="24"/>
          <w:szCs w:val="24"/>
        </w:rPr>
        <w:t>rect profit accruing from the infringement, which should be turned over to the copyright owner along with other forms of indirect profit. It would be anomalous to hold that a plaintiff can recover, for example, profits derived from the promotional use of its copyrighted material, but not for the value of the use of the revenue generated by the infringement.</w:t>
      </w:r>
      <w:r w:rsidR="001A3EBA" w:rsidRPr="00B30DB2">
        <w:rPr>
          <w:rStyle w:val="FootnoteReference"/>
          <w:rFonts w:ascii="Times New Roman" w:hAnsi="Times New Roman"/>
          <w:sz w:val="24"/>
          <w:szCs w:val="24"/>
        </w:rPr>
        <w:footnoteReference w:id="4"/>
      </w:r>
    </w:p>
    <w:p w:rsidR="00406238" w:rsidRPr="00B30DB2" w:rsidRDefault="00C87686" w:rsidP="003840AF">
      <w:pPr>
        <w:widowControl/>
        <w:spacing w:before="120"/>
        <w:ind w:firstLine="360"/>
        <w:jc w:val="both"/>
        <w:rPr>
          <w:rFonts w:ascii="Times New Roman" w:hAnsi="Times New Roman"/>
          <w:sz w:val="24"/>
          <w:szCs w:val="24"/>
        </w:rPr>
      </w:pPr>
      <w:r w:rsidRPr="00B30DB2">
        <w:rPr>
          <w:rFonts w:ascii="Times New Roman" w:hAnsi="Times New Roman"/>
          <w:sz w:val="24"/>
          <w:szCs w:val="24"/>
        </w:rPr>
        <w:t>We accordingly remand to the district court to enter an award of prejudgment interest.</w:t>
      </w:r>
      <w:r w:rsidR="001A3EBA" w:rsidRPr="00B30DB2">
        <w:rPr>
          <w:rStyle w:val="FootnoteReference"/>
          <w:rFonts w:ascii="Times New Roman" w:hAnsi="Times New Roman"/>
          <w:sz w:val="24"/>
          <w:szCs w:val="24"/>
        </w:rPr>
        <w:footnoteReference w:id="5"/>
      </w:r>
      <w:r w:rsidR="001A3EBA" w:rsidRPr="00B30DB2">
        <w:rPr>
          <w:rFonts w:ascii="Times New Roman" w:hAnsi="Times New Roman"/>
          <w:sz w:val="24"/>
          <w:szCs w:val="24"/>
        </w:rPr>
        <w:t xml:space="preserve"> </w:t>
      </w:r>
      <w:r w:rsidRPr="00B30DB2">
        <w:rPr>
          <w:rFonts w:ascii="Times New Roman" w:hAnsi="Times New Roman"/>
          <w:sz w:val="24"/>
          <w:szCs w:val="24"/>
        </w:rPr>
        <w:t xml:space="preserve">The award should be based on the fifty-two week Treasury bill rate, unless the district court concludes that the equities demand a different rate. </w:t>
      </w:r>
    </w:p>
    <w:p w:rsidR="00406238" w:rsidRPr="00B30DB2" w:rsidRDefault="00C87686" w:rsidP="003840AF">
      <w:pPr>
        <w:widowControl/>
        <w:spacing w:before="240"/>
        <w:ind w:firstLine="360"/>
        <w:jc w:val="center"/>
        <w:rPr>
          <w:rFonts w:ascii="Times New Roman" w:hAnsi="Times New Roman"/>
          <w:sz w:val="24"/>
          <w:szCs w:val="24"/>
        </w:rPr>
      </w:pPr>
      <w:r w:rsidRPr="00B30DB2">
        <w:rPr>
          <w:rFonts w:ascii="Times New Roman" w:hAnsi="Times New Roman"/>
          <w:sz w:val="24"/>
          <w:szCs w:val="24"/>
        </w:rPr>
        <w:t xml:space="preserve">C.  </w:t>
      </w:r>
      <w:r w:rsidRPr="00B30DB2">
        <w:rPr>
          <w:rFonts w:ascii="Times New Roman" w:hAnsi="Times New Roman"/>
          <w:i/>
          <w:iCs/>
          <w:sz w:val="24"/>
          <w:szCs w:val="24"/>
        </w:rPr>
        <w:t>Liability of MGM, Inc.</w:t>
      </w:r>
    </w:p>
    <w:p w:rsidR="001A3EBA"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In </w:t>
      </w:r>
      <w:r w:rsidRPr="00B30DB2">
        <w:rPr>
          <w:rFonts w:ascii="Times New Roman" w:hAnsi="Times New Roman"/>
          <w:i/>
          <w:iCs/>
          <w:sz w:val="24"/>
          <w:szCs w:val="24"/>
        </w:rPr>
        <w:t>Frank Music I</w:t>
      </w:r>
      <w:r w:rsidRPr="00B30DB2">
        <w:rPr>
          <w:rFonts w:ascii="Times New Roman" w:hAnsi="Times New Roman"/>
          <w:sz w:val="24"/>
          <w:szCs w:val="24"/>
        </w:rPr>
        <w:t xml:space="preserve">, we remanded to the district court to determine whether MGM, Inc., MGM Grand's parent corporation, should be liable for the infringement. We held that "[a] </w:t>
      </w:r>
      <w:proofErr w:type="gramStart"/>
      <w:r w:rsidRPr="00B30DB2">
        <w:rPr>
          <w:rFonts w:ascii="Times New Roman" w:hAnsi="Times New Roman"/>
          <w:sz w:val="24"/>
          <w:szCs w:val="24"/>
        </w:rPr>
        <w:t>parent corpor</w:t>
      </w:r>
      <w:r w:rsidRPr="00B30DB2">
        <w:rPr>
          <w:rFonts w:ascii="Times New Roman" w:hAnsi="Times New Roman"/>
          <w:sz w:val="24"/>
          <w:szCs w:val="24"/>
        </w:rPr>
        <w:t>a</w:t>
      </w:r>
      <w:r w:rsidRPr="00B30DB2">
        <w:rPr>
          <w:rFonts w:ascii="Times New Roman" w:hAnsi="Times New Roman"/>
          <w:sz w:val="24"/>
          <w:szCs w:val="24"/>
        </w:rPr>
        <w:t>tion</w:t>
      </w:r>
      <w:proofErr w:type="gramEnd"/>
      <w:r w:rsidRPr="00B30DB2">
        <w:rPr>
          <w:rFonts w:ascii="Times New Roman" w:hAnsi="Times New Roman"/>
          <w:sz w:val="24"/>
          <w:szCs w:val="24"/>
        </w:rPr>
        <w:t xml:space="preserve"> cannot be held liable for the infringing actions of its subsidiary unless there is a substantial and continuing connection between the two with respect to the infringing acts."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The district court found that plaintiffs failed to establish such a substantial and continuing co</w:t>
      </w:r>
      <w:r w:rsidRPr="00B30DB2">
        <w:rPr>
          <w:rFonts w:ascii="Times New Roman" w:hAnsi="Times New Roman"/>
          <w:sz w:val="24"/>
          <w:szCs w:val="24"/>
        </w:rPr>
        <w:t>n</w:t>
      </w:r>
      <w:r w:rsidRPr="00B30DB2">
        <w:rPr>
          <w:rFonts w:ascii="Times New Roman" w:hAnsi="Times New Roman"/>
          <w:sz w:val="24"/>
          <w:szCs w:val="24"/>
        </w:rPr>
        <w:t xml:space="preserve">nection. According to the district court, the only evidence of a connection between MGM, Inc. and MGM Grand was MGM Grand's use of MGM Inc.'s studio facilities for planning the production prior to the opening of MGM Grand. The district court also noted, as a fact it believed favorable to MGM, Inc., that MGM Grand paid rent for the facilities and bore all the costs associated with the production of </w:t>
      </w:r>
      <w:r w:rsidRPr="00B30DB2">
        <w:rPr>
          <w:rFonts w:ascii="Times New Roman" w:hAnsi="Times New Roman"/>
          <w:i/>
          <w:iCs/>
          <w:sz w:val="24"/>
          <w:szCs w:val="24"/>
        </w:rPr>
        <w:t>Hallelujah Hollywood</w:t>
      </w:r>
      <w:r w:rsidRPr="00B30DB2">
        <w:rPr>
          <w:rFonts w:ascii="Times New Roman" w:hAnsi="Times New Roman"/>
          <w:sz w:val="24"/>
          <w:szCs w:val="24"/>
        </w:rPr>
        <w:t xml:space="preserve">.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The district court apparently did not consider several other important pieces of evidence. During the time of the infringing performances, MGM Grand was wholly owned by MGM, Inc.</w:t>
      </w:r>
      <w:r w:rsidR="001A3EBA" w:rsidRPr="00B30DB2">
        <w:rPr>
          <w:rFonts w:ascii="Times New Roman" w:hAnsi="Times New Roman"/>
          <w:sz w:val="24"/>
          <w:szCs w:val="24"/>
        </w:rPr>
        <w:t xml:space="preserve"> </w:t>
      </w:r>
      <w:r w:rsidRPr="00B30DB2">
        <w:rPr>
          <w:rFonts w:ascii="Times New Roman" w:hAnsi="Times New Roman"/>
          <w:sz w:val="24"/>
          <w:szCs w:val="24"/>
        </w:rPr>
        <w:t xml:space="preserve"> MGM, Inc.'s legal counsel responded to inquiries about the use of </w:t>
      </w:r>
      <w:r w:rsidRPr="00B30DB2">
        <w:rPr>
          <w:rFonts w:ascii="Times New Roman" w:hAnsi="Times New Roman"/>
          <w:i/>
          <w:iCs/>
          <w:sz w:val="24"/>
          <w:szCs w:val="24"/>
        </w:rPr>
        <w:t>Kismet</w:t>
      </w:r>
      <w:r w:rsidRPr="00B30DB2">
        <w:rPr>
          <w:rFonts w:ascii="Times New Roman" w:hAnsi="Times New Roman"/>
          <w:sz w:val="24"/>
          <w:szCs w:val="24"/>
        </w:rPr>
        <w:t xml:space="preserve"> in </w:t>
      </w:r>
      <w:r w:rsidRPr="00B30DB2">
        <w:rPr>
          <w:rFonts w:ascii="Times New Roman" w:hAnsi="Times New Roman"/>
          <w:i/>
          <w:iCs/>
          <w:sz w:val="24"/>
          <w:szCs w:val="24"/>
        </w:rPr>
        <w:t>Hallelujah Hollywood</w:t>
      </w:r>
      <w:r w:rsidRPr="00B30DB2">
        <w:rPr>
          <w:rFonts w:ascii="Times New Roman" w:hAnsi="Times New Roman"/>
          <w:sz w:val="24"/>
          <w:szCs w:val="24"/>
        </w:rPr>
        <w:t xml:space="preserve">. </w:t>
      </w:r>
      <w:r w:rsidR="001A3EBA" w:rsidRPr="00B30DB2">
        <w:rPr>
          <w:rFonts w:ascii="Times New Roman" w:hAnsi="Times New Roman"/>
          <w:sz w:val="24"/>
          <w:szCs w:val="24"/>
        </w:rPr>
        <w:t xml:space="preserve"> </w:t>
      </w:r>
      <w:proofErr w:type="spellStart"/>
      <w:r w:rsidRPr="00B30DB2">
        <w:rPr>
          <w:rFonts w:ascii="Times New Roman" w:hAnsi="Times New Roman"/>
          <w:sz w:val="24"/>
          <w:szCs w:val="24"/>
        </w:rPr>
        <w:t>Donn</w:t>
      </w:r>
      <w:proofErr w:type="spellEnd"/>
      <w:r w:rsidRPr="00B30DB2">
        <w:rPr>
          <w:rFonts w:ascii="Times New Roman" w:hAnsi="Times New Roman"/>
          <w:sz w:val="24"/>
          <w:szCs w:val="24"/>
        </w:rPr>
        <w:t xml:space="preserve"> Arden's office was at MGM, Inc., and </w:t>
      </w:r>
      <w:proofErr w:type="gramStart"/>
      <w:r w:rsidRPr="00B30DB2">
        <w:rPr>
          <w:rFonts w:ascii="Times New Roman" w:hAnsi="Times New Roman"/>
          <w:sz w:val="24"/>
          <w:szCs w:val="24"/>
        </w:rPr>
        <w:t>he was selected for the job with MGM Grand by a represent</w:t>
      </w:r>
      <w:r w:rsidRPr="00B30DB2">
        <w:rPr>
          <w:rFonts w:ascii="Times New Roman" w:hAnsi="Times New Roman"/>
          <w:sz w:val="24"/>
          <w:szCs w:val="24"/>
        </w:rPr>
        <w:t>a</w:t>
      </w:r>
      <w:r w:rsidRPr="00B30DB2">
        <w:rPr>
          <w:rFonts w:ascii="Times New Roman" w:hAnsi="Times New Roman"/>
          <w:sz w:val="24"/>
          <w:szCs w:val="24"/>
        </w:rPr>
        <w:t>tive of MGM, Inc</w:t>
      </w:r>
      <w:proofErr w:type="gramEnd"/>
      <w:r w:rsidRPr="00B30DB2">
        <w:rPr>
          <w:rFonts w:ascii="Times New Roman" w:hAnsi="Times New Roman"/>
          <w:sz w:val="24"/>
          <w:szCs w:val="24"/>
        </w:rPr>
        <w:t>.</w:t>
      </w:r>
      <w:r w:rsidR="001A3EBA" w:rsidRPr="00B30DB2">
        <w:rPr>
          <w:rFonts w:ascii="Times New Roman" w:hAnsi="Times New Roman"/>
          <w:sz w:val="24"/>
          <w:szCs w:val="24"/>
        </w:rPr>
        <w:t xml:space="preserve"> </w:t>
      </w:r>
      <w:r w:rsidRPr="00B30DB2">
        <w:rPr>
          <w:rFonts w:ascii="Times New Roman" w:hAnsi="Times New Roman"/>
          <w:sz w:val="24"/>
          <w:szCs w:val="24"/>
        </w:rPr>
        <w:t xml:space="preserve"> In addition to drawing patrons to the hotel and casino, </w:t>
      </w:r>
      <w:r w:rsidRPr="00B30DB2">
        <w:rPr>
          <w:rFonts w:ascii="Times New Roman" w:hAnsi="Times New Roman"/>
          <w:i/>
          <w:iCs/>
          <w:sz w:val="24"/>
          <w:szCs w:val="24"/>
        </w:rPr>
        <w:t>Hallelujah Hollywood</w:t>
      </w:r>
      <w:r w:rsidRPr="00B30DB2">
        <w:rPr>
          <w:rFonts w:ascii="Times New Roman" w:hAnsi="Times New Roman"/>
          <w:sz w:val="24"/>
          <w:szCs w:val="24"/>
        </w:rPr>
        <w:t xml:space="preserve"> had another purpose: to promote MGM, Inc. and its "Leo the Lion" symbol. </w:t>
      </w:r>
      <w:r w:rsidR="001A3EBA" w:rsidRPr="00B30DB2">
        <w:rPr>
          <w:rFonts w:ascii="Times New Roman" w:hAnsi="Times New Roman"/>
          <w:sz w:val="24"/>
          <w:szCs w:val="24"/>
        </w:rPr>
        <w:t xml:space="preserve"> </w:t>
      </w:r>
      <w:r w:rsidRPr="00B30DB2">
        <w:rPr>
          <w:rFonts w:ascii="Times New Roman" w:hAnsi="Times New Roman"/>
          <w:sz w:val="24"/>
          <w:szCs w:val="24"/>
        </w:rPr>
        <w:t>Only material that had been used in MGM, Inc. films was used in the</w:t>
      </w:r>
      <w:r w:rsidR="001A3EBA" w:rsidRPr="00B30DB2">
        <w:rPr>
          <w:rFonts w:ascii="Times New Roman" w:hAnsi="Times New Roman"/>
          <w:sz w:val="24"/>
          <w:szCs w:val="24"/>
        </w:rPr>
        <w:t xml:space="preserve"> tribute segments of the show.  </w:t>
      </w:r>
      <w:r w:rsidRPr="00B30DB2">
        <w:rPr>
          <w:rFonts w:ascii="Times New Roman" w:hAnsi="Times New Roman"/>
          <w:sz w:val="24"/>
          <w:szCs w:val="24"/>
        </w:rPr>
        <w:t>Arden actively co</w:t>
      </w:r>
      <w:r w:rsidRPr="00B30DB2">
        <w:rPr>
          <w:rFonts w:ascii="Times New Roman" w:hAnsi="Times New Roman"/>
          <w:sz w:val="24"/>
          <w:szCs w:val="24"/>
        </w:rPr>
        <w:t>n</w:t>
      </w:r>
      <w:r w:rsidRPr="00B30DB2">
        <w:rPr>
          <w:rFonts w:ascii="Times New Roman" w:hAnsi="Times New Roman"/>
          <w:sz w:val="24"/>
          <w:szCs w:val="24"/>
        </w:rPr>
        <w:t>sulted with personnel from MGM, Inc. in preparing the show.</w:t>
      </w:r>
      <w:r w:rsidR="001A3EBA" w:rsidRPr="00B30DB2">
        <w:rPr>
          <w:rFonts w:ascii="Times New Roman" w:hAnsi="Times New Roman"/>
          <w:sz w:val="24"/>
          <w:szCs w:val="24"/>
        </w:rPr>
        <w:t xml:space="preserve"> </w:t>
      </w:r>
      <w:r w:rsidRPr="00B30DB2">
        <w:rPr>
          <w:rFonts w:ascii="Times New Roman" w:hAnsi="Times New Roman"/>
          <w:sz w:val="24"/>
          <w:szCs w:val="24"/>
        </w:rPr>
        <w:t xml:space="preserve"> MGM, Inc. made its movie version of </w:t>
      </w:r>
      <w:r w:rsidRPr="00B30DB2">
        <w:rPr>
          <w:rFonts w:ascii="Times New Roman" w:hAnsi="Times New Roman"/>
          <w:i/>
          <w:iCs/>
          <w:sz w:val="24"/>
          <w:szCs w:val="24"/>
        </w:rPr>
        <w:t>Kismet</w:t>
      </w:r>
      <w:r w:rsidRPr="00B30DB2">
        <w:rPr>
          <w:rFonts w:ascii="Times New Roman" w:hAnsi="Times New Roman"/>
          <w:sz w:val="24"/>
          <w:szCs w:val="24"/>
        </w:rPr>
        <w:t xml:space="preserve"> available to Arden and Marvin Laird, who viewed it in a production room at MGM, Inc.</w:t>
      </w:r>
      <w:r w:rsidR="001A3EBA" w:rsidRPr="00B30DB2">
        <w:rPr>
          <w:rFonts w:ascii="Times New Roman" w:hAnsi="Times New Roman"/>
          <w:sz w:val="24"/>
          <w:szCs w:val="24"/>
        </w:rPr>
        <w:t xml:space="preserve"> </w:t>
      </w:r>
      <w:r w:rsidRPr="00B30DB2">
        <w:rPr>
          <w:rFonts w:ascii="Times New Roman" w:hAnsi="Times New Roman"/>
          <w:sz w:val="24"/>
          <w:szCs w:val="24"/>
        </w:rPr>
        <w:t xml:space="preserve"> Arden and Laird got clearances for the material they wanted to use in </w:t>
      </w:r>
      <w:r w:rsidRPr="00B30DB2">
        <w:rPr>
          <w:rFonts w:ascii="Times New Roman" w:hAnsi="Times New Roman"/>
          <w:i/>
          <w:iCs/>
          <w:sz w:val="24"/>
          <w:szCs w:val="24"/>
        </w:rPr>
        <w:t>Hallelujah Hollywood</w:t>
      </w:r>
      <w:r w:rsidRPr="00B30DB2">
        <w:rPr>
          <w:rFonts w:ascii="Times New Roman" w:hAnsi="Times New Roman"/>
          <w:sz w:val="24"/>
          <w:szCs w:val="24"/>
        </w:rPr>
        <w:t>, i</w:t>
      </w:r>
      <w:r w:rsidRPr="00B30DB2">
        <w:rPr>
          <w:rFonts w:ascii="Times New Roman" w:hAnsi="Times New Roman"/>
          <w:sz w:val="24"/>
          <w:szCs w:val="24"/>
        </w:rPr>
        <w:t>n</w:t>
      </w:r>
      <w:r w:rsidRPr="00B30DB2">
        <w:rPr>
          <w:rFonts w:ascii="Times New Roman" w:hAnsi="Times New Roman"/>
          <w:sz w:val="24"/>
          <w:szCs w:val="24"/>
        </w:rPr>
        <w:t xml:space="preserve">cluding a clearance to use </w:t>
      </w:r>
      <w:r w:rsidRPr="00B30DB2">
        <w:rPr>
          <w:rFonts w:ascii="Times New Roman" w:hAnsi="Times New Roman"/>
          <w:i/>
          <w:iCs/>
          <w:sz w:val="24"/>
          <w:szCs w:val="24"/>
        </w:rPr>
        <w:t>Kismet</w:t>
      </w:r>
      <w:r w:rsidRPr="00B30DB2">
        <w:rPr>
          <w:rFonts w:ascii="Times New Roman" w:hAnsi="Times New Roman"/>
          <w:sz w:val="24"/>
          <w:szCs w:val="24"/>
        </w:rPr>
        <w:t xml:space="preserve">, from MGM, Inc. Laird, who worked on the music to Act IV, used material and was assisted by employees from MGM Inc.'s music library.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The district court clearly erred in not finding that MGM, Inc. and MGM Grand had a substantial and continuing relationship with respect to the infringing activities.  Therefore, we conclude that MGM, Inc. is jointly and severally liable for the judgment against MGM Grand. </w:t>
      </w:r>
    </w:p>
    <w:p w:rsidR="00406238" w:rsidRPr="00B30DB2" w:rsidRDefault="00C87686" w:rsidP="003840AF">
      <w:pPr>
        <w:widowControl/>
        <w:spacing w:before="120"/>
        <w:ind w:firstLine="360"/>
        <w:jc w:val="both"/>
        <w:rPr>
          <w:rFonts w:ascii="Times New Roman" w:hAnsi="Times New Roman"/>
          <w:sz w:val="24"/>
          <w:szCs w:val="24"/>
        </w:rPr>
      </w:pPr>
      <w:r w:rsidRPr="00B30DB2">
        <w:rPr>
          <w:rFonts w:ascii="Times New Roman" w:hAnsi="Times New Roman"/>
          <w:sz w:val="24"/>
          <w:szCs w:val="24"/>
        </w:rPr>
        <w:t>Plaintiffs also argue that MGM, Inc. should be liable additionally for an award of its own profits or, in lieu of such an award, for statutory damages. We disagree. Our conclusion that MGM, Inc. had a substantial and continuing relationship with MGM Grand with respect to the infringement permits us to treat the two corporate entities as the same for purposes of imposing an award of pro</w:t>
      </w:r>
      <w:r w:rsidRPr="00B30DB2">
        <w:rPr>
          <w:rFonts w:ascii="Times New Roman" w:hAnsi="Times New Roman"/>
          <w:sz w:val="24"/>
          <w:szCs w:val="24"/>
        </w:rPr>
        <w:t>f</w:t>
      </w:r>
      <w:r w:rsidRPr="00B30DB2">
        <w:rPr>
          <w:rFonts w:ascii="Times New Roman" w:hAnsi="Times New Roman"/>
          <w:sz w:val="24"/>
          <w:szCs w:val="24"/>
        </w:rPr>
        <w:t>its. Nevertheless, the downstream corporate benefits to MGM, Inc. from the infringement are si</w:t>
      </w:r>
      <w:r w:rsidRPr="00B30DB2">
        <w:rPr>
          <w:rFonts w:ascii="Times New Roman" w:hAnsi="Times New Roman"/>
          <w:sz w:val="24"/>
          <w:szCs w:val="24"/>
        </w:rPr>
        <w:t>m</w:t>
      </w:r>
      <w:r w:rsidRPr="00B30DB2">
        <w:rPr>
          <w:rFonts w:ascii="Times New Roman" w:hAnsi="Times New Roman"/>
          <w:sz w:val="24"/>
          <w:szCs w:val="24"/>
        </w:rPr>
        <w:t>ply too attenuated and too speculative to support a further award from an apportionment of its co</w:t>
      </w:r>
      <w:r w:rsidRPr="00B30DB2">
        <w:rPr>
          <w:rFonts w:ascii="Times New Roman" w:hAnsi="Times New Roman"/>
          <w:sz w:val="24"/>
          <w:szCs w:val="24"/>
        </w:rPr>
        <w:t>r</w:t>
      </w:r>
      <w:r w:rsidRPr="00B30DB2">
        <w:rPr>
          <w:rFonts w:ascii="Times New Roman" w:hAnsi="Times New Roman"/>
          <w:sz w:val="24"/>
          <w:szCs w:val="24"/>
        </w:rPr>
        <w:t>porate profits. The question of whether specific profits were made from an infringement is similar to that of proximate cause in the tort context: just as there comes a point beyond which effects ca</w:t>
      </w:r>
      <w:r w:rsidRPr="00B30DB2">
        <w:rPr>
          <w:rFonts w:ascii="Times New Roman" w:hAnsi="Times New Roman"/>
          <w:sz w:val="24"/>
          <w:szCs w:val="24"/>
        </w:rPr>
        <w:t>n</w:t>
      </w:r>
      <w:r w:rsidRPr="00B30DB2">
        <w:rPr>
          <w:rFonts w:ascii="Times New Roman" w:hAnsi="Times New Roman"/>
          <w:sz w:val="24"/>
          <w:szCs w:val="24"/>
        </w:rPr>
        <w:t xml:space="preserve">not legally be attributed to an initial </w:t>
      </w:r>
      <w:proofErr w:type="spellStart"/>
      <w:r w:rsidRPr="00B30DB2">
        <w:rPr>
          <w:rFonts w:ascii="Times New Roman" w:hAnsi="Times New Roman"/>
          <w:sz w:val="24"/>
          <w:szCs w:val="24"/>
        </w:rPr>
        <w:t>tortious</w:t>
      </w:r>
      <w:proofErr w:type="spellEnd"/>
      <w:r w:rsidRPr="00B30DB2">
        <w:rPr>
          <w:rFonts w:ascii="Times New Roman" w:hAnsi="Times New Roman"/>
          <w:sz w:val="24"/>
          <w:szCs w:val="24"/>
        </w:rPr>
        <w:t xml:space="preserve"> action, so too there comes a point beyond which an i</w:t>
      </w:r>
      <w:r w:rsidRPr="00B30DB2">
        <w:rPr>
          <w:rFonts w:ascii="Times New Roman" w:hAnsi="Times New Roman"/>
          <w:sz w:val="24"/>
          <w:szCs w:val="24"/>
        </w:rPr>
        <w:t>n</w:t>
      </w:r>
      <w:r w:rsidRPr="00B30DB2">
        <w:rPr>
          <w:rFonts w:ascii="Times New Roman" w:hAnsi="Times New Roman"/>
          <w:sz w:val="24"/>
          <w:szCs w:val="24"/>
        </w:rPr>
        <w:t>fringer's profits, from its enterprises as a whole, cannot legally be attributed to a particular act of infringement. The profits of a hotel may well, as here, have a sufficient nexus with an infringing performance in the hotel's showroom to justify attributing some percent</w:t>
      </w:r>
      <w:r w:rsidR="0069724A">
        <w:rPr>
          <w:rFonts w:ascii="Times New Roman" w:hAnsi="Times New Roman"/>
          <w:sz w:val="24"/>
          <w:szCs w:val="24"/>
        </w:rPr>
        <w:t xml:space="preserve">age [*1554] </w:t>
      </w:r>
      <w:r w:rsidRPr="00B30DB2">
        <w:rPr>
          <w:rFonts w:ascii="Times New Roman" w:hAnsi="Times New Roman"/>
          <w:sz w:val="24"/>
          <w:szCs w:val="24"/>
        </w:rPr>
        <w:t>of the hotel's profits to the infringement.</w:t>
      </w:r>
      <w:r w:rsidR="008316A6" w:rsidRPr="00B30DB2">
        <w:rPr>
          <w:rStyle w:val="FootnoteReference"/>
          <w:rFonts w:ascii="Times New Roman" w:hAnsi="Times New Roman"/>
          <w:sz w:val="24"/>
          <w:szCs w:val="24"/>
        </w:rPr>
        <w:footnoteReference w:id="6"/>
      </w:r>
      <w:r w:rsidR="008316A6" w:rsidRPr="00B30DB2">
        <w:rPr>
          <w:rFonts w:ascii="Times New Roman" w:hAnsi="Times New Roman"/>
          <w:sz w:val="24"/>
          <w:szCs w:val="24"/>
        </w:rPr>
        <w:t xml:space="preserve">  </w:t>
      </w:r>
      <w:r w:rsidRPr="00B30DB2">
        <w:rPr>
          <w:rFonts w:ascii="Times New Roman" w:hAnsi="Times New Roman"/>
          <w:sz w:val="24"/>
          <w:szCs w:val="24"/>
        </w:rPr>
        <w:t xml:space="preserve">The profits of MGM, Inc. from its own interests and activities other than the MGM Grand lack such a nexus. Although MGM, Inc. may have reaped some marginal benefit from the infringement, for example from a slight increase in movie revenue as a result of the advertising value of the MGM Grand, or from a rise in stock value attributable in part to the success of the hotel, the percentage of such profits attributable to the infringing material in Act IV of </w:t>
      </w:r>
      <w:r w:rsidRPr="00B30DB2">
        <w:rPr>
          <w:rFonts w:ascii="Times New Roman" w:hAnsi="Times New Roman"/>
          <w:i/>
          <w:iCs/>
          <w:sz w:val="24"/>
          <w:szCs w:val="24"/>
        </w:rPr>
        <w:t>Hall</w:t>
      </w:r>
      <w:r w:rsidRPr="00B30DB2">
        <w:rPr>
          <w:rFonts w:ascii="Times New Roman" w:hAnsi="Times New Roman"/>
          <w:i/>
          <w:iCs/>
          <w:sz w:val="24"/>
          <w:szCs w:val="24"/>
        </w:rPr>
        <w:t>e</w:t>
      </w:r>
      <w:r w:rsidRPr="00B30DB2">
        <w:rPr>
          <w:rFonts w:ascii="Times New Roman" w:hAnsi="Times New Roman"/>
          <w:i/>
          <w:iCs/>
          <w:sz w:val="24"/>
          <w:szCs w:val="24"/>
        </w:rPr>
        <w:t>lujah Hollywood</w:t>
      </w:r>
      <w:r w:rsidRPr="00B30DB2">
        <w:rPr>
          <w:rFonts w:ascii="Times New Roman" w:hAnsi="Times New Roman"/>
          <w:sz w:val="24"/>
          <w:szCs w:val="24"/>
        </w:rPr>
        <w:t xml:space="preserve"> is too speculative and the relationship between such profits and the infringement too attenuated to justify the award of additional damages based on any profits received by MGM, Inc. </w:t>
      </w:r>
      <w:r w:rsidR="003840AF">
        <w:rPr>
          <w:rFonts w:ascii="Times New Roman" w:hAnsi="Times New Roman"/>
          <w:sz w:val="24"/>
          <w:szCs w:val="24"/>
        </w:rPr>
        <w:t xml:space="preserve"> </w:t>
      </w:r>
      <w:r w:rsidR="008316A6" w:rsidRPr="00B30DB2">
        <w:rPr>
          <w:rFonts w:ascii="Times New Roman" w:hAnsi="Times New Roman"/>
          <w:sz w:val="24"/>
          <w:szCs w:val="24"/>
        </w:rPr>
        <w:t>* * *</w:t>
      </w:r>
    </w:p>
    <w:p w:rsidR="00406238" w:rsidRPr="00B30DB2" w:rsidRDefault="00C87686" w:rsidP="003840AF">
      <w:pPr>
        <w:widowControl/>
        <w:spacing w:before="240"/>
        <w:ind w:firstLine="360"/>
        <w:jc w:val="center"/>
        <w:rPr>
          <w:rFonts w:ascii="Times New Roman" w:hAnsi="Times New Roman"/>
          <w:sz w:val="24"/>
          <w:szCs w:val="24"/>
        </w:rPr>
      </w:pPr>
      <w:r w:rsidRPr="00B30DB2">
        <w:rPr>
          <w:rFonts w:ascii="Times New Roman" w:hAnsi="Times New Roman"/>
          <w:sz w:val="24"/>
          <w:szCs w:val="24"/>
        </w:rPr>
        <w:t xml:space="preserve">F. </w:t>
      </w:r>
      <w:r w:rsidRPr="00B30DB2">
        <w:rPr>
          <w:rFonts w:ascii="Times New Roman" w:hAnsi="Times New Roman"/>
          <w:i/>
          <w:iCs/>
          <w:sz w:val="24"/>
          <w:szCs w:val="24"/>
        </w:rPr>
        <w:t>Attorney's Fees</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Both parties appeal from the district court's award of attorney's fees to the plaintiffs. The plai</w:t>
      </w:r>
      <w:r w:rsidRPr="00B30DB2">
        <w:rPr>
          <w:rFonts w:ascii="Times New Roman" w:hAnsi="Times New Roman"/>
          <w:sz w:val="24"/>
          <w:szCs w:val="24"/>
        </w:rPr>
        <w:t>n</w:t>
      </w:r>
      <w:r w:rsidRPr="00B30DB2">
        <w:rPr>
          <w:rFonts w:ascii="Times New Roman" w:hAnsi="Times New Roman"/>
          <w:sz w:val="24"/>
          <w:szCs w:val="24"/>
        </w:rPr>
        <w:t>tiffs argue that the district court awarded them too small a fee. The defendants argue that the plai</w:t>
      </w:r>
      <w:r w:rsidRPr="00B30DB2">
        <w:rPr>
          <w:rFonts w:ascii="Times New Roman" w:hAnsi="Times New Roman"/>
          <w:sz w:val="24"/>
          <w:szCs w:val="24"/>
        </w:rPr>
        <w:t>n</w:t>
      </w:r>
      <w:r w:rsidRPr="00B30DB2">
        <w:rPr>
          <w:rFonts w:ascii="Times New Roman" w:hAnsi="Times New Roman"/>
          <w:sz w:val="24"/>
          <w:szCs w:val="24"/>
        </w:rPr>
        <w:t xml:space="preserve">tiffs are not entitled to a fee at all, and even if they are, the fee awarded was too high. </w:t>
      </w:r>
    </w:p>
    <w:p w:rsidR="00406238" w:rsidRPr="00B30DB2" w:rsidRDefault="00C87686" w:rsidP="003840AF">
      <w:pPr>
        <w:widowControl/>
        <w:spacing w:before="120"/>
        <w:ind w:firstLine="360"/>
        <w:jc w:val="both"/>
        <w:rPr>
          <w:rFonts w:ascii="Times New Roman" w:hAnsi="Times New Roman"/>
          <w:sz w:val="24"/>
          <w:szCs w:val="24"/>
        </w:rPr>
      </w:pPr>
      <w:r w:rsidRPr="00B30DB2">
        <w:rPr>
          <w:rFonts w:ascii="Times New Roman" w:hAnsi="Times New Roman"/>
          <w:sz w:val="24"/>
          <w:szCs w:val="24"/>
        </w:rPr>
        <w:t>The decision to award fees, and the amount of fees awarded, are both reviewed for abuse of di</w:t>
      </w:r>
      <w:r w:rsidRPr="00B30DB2">
        <w:rPr>
          <w:rFonts w:ascii="Times New Roman" w:hAnsi="Times New Roman"/>
          <w:sz w:val="24"/>
          <w:szCs w:val="24"/>
        </w:rPr>
        <w:t>s</w:t>
      </w:r>
      <w:r w:rsidRPr="00B30DB2">
        <w:rPr>
          <w:rFonts w:ascii="Times New Roman" w:hAnsi="Times New Roman"/>
          <w:sz w:val="24"/>
          <w:szCs w:val="24"/>
        </w:rPr>
        <w:t>cretion.</w:t>
      </w:r>
      <w:r w:rsidR="008316A6" w:rsidRPr="00B30DB2">
        <w:rPr>
          <w:rStyle w:val="FootnoteReference"/>
          <w:rFonts w:ascii="Times New Roman" w:hAnsi="Times New Roman"/>
          <w:sz w:val="24"/>
          <w:szCs w:val="24"/>
        </w:rPr>
        <w:footnoteReference w:id="7"/>
      </w:r>
      <w:r w:rsidR="008316A6" w:rsidRPr="00B30DB2">
        <w:rPr>
          <w:rFonts w:ascii="Times New Roman" w:hAnsi="Times New Roman"/>
          <w:sz w:val="24"/>
          <w:szCs w:val="24"/>
        </w:rPr>
        <w:t xml:space="preserve">  </w:t>
      </w:r>
      <w:proofErr w:type="gramStart"/>
      <w:r w:rsidRPr="00B30DB2">
        <w:rPr>
          <w:rFonts w:ascii="Times New Roman" w:hAnsi="Times New Roman"/>
          <w:i/>
          <w:iCs/>
          <w:sz w:val="24"/>
          <w:szCs w:val="24"/>
        </w:rPr>
        <w:t>Moore v. Jas.</w:t>
      </w:r>
      <w:proofErr w:type="gramEnd"/>
      <w:r w:rsidRPr="00B30DB2">
        <w:rPr>
          <w:rFonts w:ascii="Times New Roman" w:hAnsi="Times New Roman"/>
          <w:i/>
          <w:iCs/>
          <w:sz w:val="24"/>
          <w:szCs w:val="24"/>
        </w:rPr>
        <w:t xml:space="preserve"> H. Matthews &amp; Co.</w:t>
      </w:r>
      <w:r w:rsidRPr="00B30DB2">
        <w:rPr>
          <w:rFonts w:ascii="Times New Roman" w:hAnsi="Times New Roman"/>
          <w:sz w:val="24"/>
          <w:szCs w:val="24"/>
        </w:rPr>
        <w:t>, 682 F.2d 830, 838 (9th Cir. 1982).</w:t>
      </w:r>
      <w:r w:rsidR="008316A6" w:rsidRPr="00B30DB2">
        <w:rPr>
          <w:rFonts w:ascii="Times New Roman" w:hAnsi="Times New Roman"/>
          <w:sz w:val="24"/>
          <w:szCs w:val="24"/>
        </w:rPr>
        <w:t xml:space="preserve"> </w:t>
      </w:r>
      <w:r w:rsidRPr="00B30DB2">
        <w:rPr>
          <w:rFonts w:ascii="Times New Roman" w:hAnsi="Times New Roman"/>
          <w:sz w:val="24"/>
          <w:szCs w:val="24"/>
        </w:rPr>
        <w:t xml:space="preserve"> Plaintiffs in cop</w:t>
      </w:r>
      <w:r w:rsidRPr="00B30DB2">
        <w:rPr>
          <w:rFonts w:ascii="Times New Roman" w:hAnsi="Times New Roman"/>
          <w:sz w:val="24"/>
          <w:szCs w:val="24"/>
        </w:rPr>
        <w:t>y</w:t>
      </w:r>
      <w:r w:rsidRPr="00B30DB2">
        <w:rPr>
          <w:rFonts w:ascii="Times New Roman" w:hAnsi="Times New Roman"/>
          <w:sz w:val="24"/>
          <w:szCs w:val="24"/>
        </w:rPr>
        <w:t>right actions may be awarded</w:t>
      </w:r>
      <w:r w:rsidRPr="00B30DB2">
        <w:rPr>
          <w:rFonts w:ascii="Times New Roman" w:hAnsi="Times New Roman"/>
          <w:b/>
          <w:sz w:val="24"/>
          <w:szCs w:val="24"/>
        </w:rPr>
        <w:t xml:space="preserve"> </w:t>
      </w:r>
      <w:r w:rsidRPr="00B30DB2">
        <w:rPr>
          <w:rFonts w:ascii="Times New Roman" w:hAnsi="Times New Roman"/>
          <w:sz w:val="24"/>
          <w:szCs w:val="24"/>
        </w:rPr>
        <w:t xml:space="preserve">attorney's fees simply by virtue of prevailing in the action: no other precondition need be met, although the fee awarded must be reasonable.  The district court correctly noted that such awards to prevailing plaintiffs serve the purpose of encouraging private enforcement and deterring infringements. The district court did not abuse its discretion in determining that the plaintiffs are entitled to an award of attorney's fees.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We conclude, however, that the district court erred in failing to explain the basis for the amount awarded. Plaintiffs' counsel did not provide the district court with contemporaneous time records. His "reconstructed records" claim 1707.5 hours spent on this case from 1975 through mid-May 1980. This reconstruction is memorialized in an itemized list. In addition, he estimated that he e</w:t>
      </w:r>
      <w:r w:rsidRPr="00B30DB2">
        <w:rPr>
          <w:rFonts w:ascii="Times New Roman" w:hAnsi="Times New Roman"/>
          <w:sz w:val="24"/>
          <w:szCs w:val="24"/>
        </w:rPr>
        <w:t>x</w:t>
      </w:r>
      <w:r w:rsidRPr="00B30DB2">
        <w:rPr>
          <w:rFonts w:ascii="Times New Roman" w:hAnsi="Times New Roman"/>
          <w:sz w:val="24"/>
          <w:szCs w:val="24"/>
        </w:rPr>
        <w:t>pended another 3500 hours on the case from mid-May 1980 to the summer of 1987, listing the ser</w:t>
      </w:r>
      <w:r w:rsidRPr="00B30DB2">
        <w:rPr>
          <w:rFonts w:ascii="Times New Roman" w:hAnsi="Times New Roman"/>
          <w:sz w:val="24"/>
          <w:szCs w:val="24"/>
        </w:rPr>
        <w:t>v</w:t>
      </w:r>
      <w:r w:rsidRPr="00B30DB2">
        <w:rPr>
          <w:rFonts w:ascii="Times New Roman" w:hAnsi="Times New Roman"/>
          <w:sz w:val="24"/>
          <w:szCs w:val="24"/>
        </w:rPr>
        <w:t>ices performed during that period but not allocating his time among the various services. Counsel sought compensation at the rate of  [*1557]  $250 per hour. Counsel's only explanation for his fai</w:t>
      </w:r>
      <w:r w:rsidRPr="00B30DB2">
        <w:rPr>
          <w:rFonts w:ascii="Times New Roman" w:hAnsi="Times New Roman"/>
          <w:sz w:val="24"/>
          <w:szCs w:val="24"/>
        </w:rPr>
        <w:t>l</w:t>
      </w:r>
      <w:r w:rsidRPr="00B30DB2">
        <w:rPr>
          <w:rFonts w:ascii="Times New Roman" w:hAnsi="Times New Roman"/>
          <w:sz w:val="24"/>
          <w:szCs w:val="24"/>
        </w:rPr>
        <w:t xml:space="preserve">ure to keep track of seven years of his work was that he "got out of the habit of keeping time on the case."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The district court found that counsel expended much unwarranted time -- as much as 300 hours of work where only a single hour was necessary. The court found the facts simple, but noted that complicated legal issues relating to damages were presented. As additional reasons for reducing the amount of the fees award, the court remarked that plaintiffs prevailed on only one of three claims, and that "both sides engendered numerous delays and petty discovery disputes, resulting in the i</w:t>
      </w:r>
      <w:r w:rsidRPr="00B30DB2">
        <w:rPr>
          <w:rFonts w:ascii="Times New Roman" w:hAnsi="Times New Roman"/>
          <w:sz w:val="24"/>
          <w:szCs w:val="24"/>
        </w:rPr>
        <w:t>n</w:t>
      </w:r>
      <w:r w:rsidRPr="00B30DB2">
        <w:rPr>
          <w:rFonts w:ascii="Times New Roman" w:hAnsi="Times New Roman"/>
          <w:sz w:val="24"/>
          <w:szCs w:val="24"/>
        </w:rPr>
        <w:t xml:space="preserve">ordinate length of time necessary to resolve this case." </w:t>
      </w:r>
      <w:r w:rsidR="003840AF">
        <w:rPr>
          <w:rFonts w:ascii="Times New Roman" w:hAnsi="Times New Roman"/>
          <w:sz w:val="24"/>
          <w:szCs w:val="24"/>
        </w:rPr>
        <w:t xml:space="preserve"> </w:t>
      </w:r>
      <w:r w:rsidRPr="00B30DB2">
        <w:rPr>
          <w:rFonts w:ascii="Times New Roman" w:hAnsi="Times New Roman"/>
          <w:sz w:val="24"/>
          <w:szCs w:val="24"/>
        </w:rPr>
        <w:t xml:space="preserve">The court, "in view of all these factors," concluded that a </w:t>
      </w:r>
      <w:r w:rsidR="003840AF">
        <w:rPr>
          <w:rFonts w:ascii="Times New Roman" w:hAnsi="Times New Roman"/>
          <w:sz w:val="24"/>
          <w:szCs w:val="24"/>
        </w:rPr>
        <w:t>reasonable attorney's fee was $</w:t>
      </w:r>
      <w:r w:rsidRPr="00B30DB2">
        <w:rPr>
          <w:rFonts w:ascii="Times New Roman" w:hAnsi="Times New Roman"/>
          <w:sz w:val="24"/>
          <w:szCs w:val="24"/>
        </w:rPr>
        <w:t>115,000. The district court made no specific fin</w:t>
      </w:r>
      <w:r w:rsidRPr="00B30DB2">
        <w:rPr>
          <w:rFonts w:ascii="Times New Roman" w:hAnsi="Times New Roman"/>
          <w:sz w:val="24"/>
          <w:szCs w:val="24"/>
        </w:rPr>
        <w:t>d</w:t>
      </w:r>
      <w:r w:rsidRPr="00B30DB2">
        <w:rPr>
          <w:rFonts w:ascii="Times New Roman" w:hAnsi="Times New Roman"/>
          <w:sz w:val="24"/>
          <w:szCs w:val="24"/>
        </w:rPr>
        <w:t xml:space="preserve">ings either as to the number of hours reasonably spent or what was a reasonable hourly rate. </w:t>
      </w:r>
    </w:p>
    <w:p w:rsidR="00B30DB2" w:rsidRPr="00B30DB2" w:rsidRDefault="00C87686" w:rsidP="00C07AF4">
      <w:pPr>
        <w:widowControl/>
        <w:spacing w:before="120"/>
        <w:ind w:firstLine="360"/>
        <w:jc w:val="both"/>
        <w:rPr>
          <w:rFonts w:ascii="Times New Roman" w:hAnsi="Times New Roman"/>
          <w:i/>
          <w:iCs/>
          <w:sz w:val="24"/>
          <w:szCs w:val="24"/>
        </w:rPr>
      </w:pPr>
      <w:r w:rsidRPr="00B30DB2">
        <w:rPr>
          <w:rFonts w:ascii="Times New Roman" w:hAnsi="Times New Roman"/>
          <w:sz w:val="24"/>
          <w:szCs w:val="24"/>
        </w:rPr>
        <w:t>The trial court correctly refused to accept uncritically plaintiffs' counsel's representations co</w:t>
      </w:r>
      <w:r w:rsidRPr="00B30DB2">
        <w:rPr>
          <w:rFonts w:ascii="Times New Roman" w:hAnsi="Times New Roman"/>
          <w:sz w:val="24"/>
          <w:szCs w:val="24"/>
        </w:rPr>
        <w:t>n</w:t>
      </w:r>
      <w:r w:rsidRPr="00B30DB2">
        <w:rPr>
          <w:rFonts w:ascii="Times New Roman" w:hAnsi="Times New Roman"/>
          <w:sz w:val="24"/>
          <w:szCs w:val="24"/>
        </w:rPr>
        <w:t>cerning</w:t>
      </w:r>
      <w:r w:rsidR="008316A6" w:rsidRPr="00B30DB2">
        <w:rPr>
          <w:rFonts w:ascii="Times New Roman" w:hAnsi="Times New Roman"/>
          <w:sz w:val="24"/>
          <w:szCs w:val="24"/>
        </w:rPr>
        <w:t xml:space="preserve"> </w:t>
      </w:r>
      <w:r w:rsidRPr="00B30DB2">
        <w:rPr>
          <w:rFonts w:ascii="Times New Roman" w:hAnsi="Times New Roman"/>
          <w:sz w:val="24"/>
          <w:szCs w:val="24"/>
        </w:rPr>
        <w:t>the time expended.  Plaintiffs bear the burden of showing the time spent and that it was re</w:t>
      </w:r>
      <w:r w:rsidRPr="00B30DB2">
        <w:rPr>
          <w:rFonts w:ascii="Times New Roman" w:hAnsi="Times New Roman"/>
          <w:sz w:val="24"/>
          <w:szCs w:val="24"/>
        </w:rPr>
        <w:t>a</w:t>
      </w:r>
      <w:r w:rsidRPr="00B30DB2">
        <w:rPr>
          <w:rFonts w:ascii="Times New Roman" w:hAnsi="Times New Roman"/>
          <w:sz w:val="24"/>
          <w:szCs w:val="24"/>
        </w:rPr>
        <w:t>sonably necessary to the successful prosecution of their copyright claims. The lack of contempor</w:t>
      </w:r>
      <w:r w:rsidRPr="00B30DB2">
        <w:rPr>
          <w:rFonts w:ascii="Times New Roman" w:hAnsi="Times New Roman"/>
          <w:sz w:val="24"/>
          <w:szCs w:val="24"/>
        </w:rPr>
        <w:t>a</w:t>
      </w:r>
      <w:r w:rsidRPr="00B30DB2">
        <w:rPr>
          <w:rFonts w:ascii="Times New Roman" w:hAnsi="Times New Roman"/>
          <w:sz w:val="24"/>
          <w:szCs w:val="24"/>
        </w:rPr>
        <w:t>neous records does not justify an automatic reduction in the hours claimed, but such hours should be credited only if reasonable under the circumstances and supported by other evidence such as test</w:t>
      </w:r>
      <w:r w:rsidRPr="00B30DB2">
        <w:rPr>
          <w:rFonts w:ascii="Times New Roman" w:hAnsi="Times New Roman"/>
          <w:sz w:val="24"/>
          <w:szCs w:val="24"/>
        </w:rPr>
        <w:t>i</w:t>
      </w:r>
      <w:r w:rsidRPr="00B30DB2">
        <w:rPr>
          <w:rFonts w:ascii="Times New Roman" w:hAnsi="Times New Roman"/>
          <w:sz w:val="24"/>
          <w:szCs w:val="24"/>
        </w:rPr>
        <w:t>mony or secondary documentation.  Time spent by plaintiffs' counsel responding to motions or a</w:t>
      </w:r>
      <w:r w:rsidRPr="00B30DB2">
        <w:rPr>
          <w:rFonts w:ascii="Times New Roman" w:hAnsi="Times New Roman"/>
          <w:sz w:val="24"/>
          <w:szCs w:val="24"/>
        </w:rPr>
        <w:t>c</w:t>
      </w:r>
      <w:r w:rsidRPr="00B30DB2">
        <w:rPr>
          <w:rFonts w:ascii="Times New Roman" w:hAnsi="Times New Roman"/>
          <w:sz w:val="24"/>
          <w:szCs w:val="24"/>
        </w:rPr>
        <w:t>tions by the defendants should not be excluded from the fee award. "Although [defendants] had the right to play hardball in contesting [plaintiffs'] claims, it is also appropriate that [defendants] bear the cost of their obstructionist strategy."</w:t>
      </w:r>
      <w:r w:rsidR="008316A6" w:rsidRPr="00B30DB2">
        <w:rPr>
          <w:rFonts w:ascii="Times New Roman" w:hAnsi="Times New Roman"/>
          <w:sz w:val="24"/>
          <w:szCs w:val="24"/>
        </w:rPr>
        <w:t xml:space="preserve"> </w:t>
      </w:r>
      <w:r w:rsidRPr="00B30DB2">
        <w:rPr>
          <w:rFonts w:ascii="Times New Roman" w:hAnsi="Times New Roman"/>
          <w:sz w:val="24"/>
          <w:szCs w:val="24"/>
        </w:rPr>
        <w:t>The district court blamed both sides for delays and petty discovery disputes, without differentiating those delays and disputes properly the fault of the plai</w:t>
      </w:r>
      <w:r w:rsidRPr="00B30DB2">
        <w:rPr>
          <w:rFonts w:ascii="Times New Roman" w:hAnsi="Times New Roman"/>
          <w:sz w:val="24"/>
          <w:szCs w:val="24"/>
        </w:rPr>
        <w:t>n</w:t>
      </w:r>
      <w:r w:rsidRPr="00B30DB2">
        <w:rPr>
          <w:rFonts w:ascii="Times New Roman" w:hAnsi="Times New Roman"/>
          <w:sz w:val="24"/>
          <w:szCs w:val="24"/>
        </w:rPr>
        <w:t>tiffs from those properly the fault of the defendants.</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In setting a reasonable attorney's fee, the district court should make specific findings of the rate and hours it has determined to be reasonable.   In </w:t>
      </w:r>
      <w:r w:rsidRPr="00B30DB2">
        <w:rPr>
          <w:rFonts w:ascii="Times New Roman" w:hAnsi="Times New Roman"/>
          <w:i/>
          <w:iCs/>
          <w:sz w:val="24"/>
          <w:szCs w:val="24"/>
        </w:rPr>
        <w:t>Moore</w:t>
      </w:r>
      <w:r w:rsidRPr="00B30DB2">
        <w:rPr>
          <w:rFonts w:ascii="Times New Roman" w:hAnsi="Times New Roman"/>
          <w:sz w:val="24"/>
          <w:szCs w:val="24"/>
        </w:rPr>
        <w:t>, the district court reduced counsels' fee r</w:t>
      </w:r>
      <w:r w:rsidRPr="00B30DB2">
        <w:rPr>
          <w:rFonts w:ascii="Times New Roman" w:hAnsi="Times New Roman"/>
          <w:sz w:val="24"/>
          <w:szCs w:val="24"/>
        </w:rPr>
        <w:t>e</w:t>
      </w:r>
      <w:r w:rsidRPr="00B30DB2">
        <w:rPr>
          <w:rFonts w:ascii="Times New Roman" w:hAnsi="Times New Roman"/>
          <w:sz w:val="24"/>
          <w:szCs w:val="24"/>
        </w:rPr>
        <w:t xml:space="preserve">quest because, in the district court's opinion, they "were . . . inclined to produce a large volume of less than useful material." We reversed and remanded that award, holding that the district court abused its discretion by reducing counsels' claimed hours by half and allowing less than half their normal billing rate solely on the ground that some of their work was less than useful.  Plaintiffs' counsel's inadequate showing has invited substantial discounting of his fee. Still, he is entitled to a reasonable amount. Before determining the appropriate fee, the district court should make a more detailed analysis of the time records presented and a finding as to the reasonable hourly rate. </w:t>
      </w:r>
      <w:r w:rsidR="00B30DB2" w:rsidRPr="00B30DB2">
        <w:rPr>
          <w:rFonts w:ascii="Times New Roman" w:hAnsi="Times New Roman"/>
          <w:sz w:val="24"/>
          <w:szCs w:val="24"/>
        </w:rPr>
        <w:t xml:space="preserve"> </w:t>
      </w:r>
      <w:r w:rsidRPr="00B30DB2">
        <w:rPr>
          <w:rFonts w:ascii="Times New Roman" w:hAnsi="Times New Roman"/>
          <w:sz w:val="24"/>
          <w:szCs w:val="24"/>
        </w:rPr>
        <w:t xml:space="preserve">We accordingly remand to the district court to reconsider its award and to substantiate whatever fee it awards. In its discretion, it can require the parties to supplement the record. </w:t>
      </w:r>
    </w:p>
    <w:p w:rsidR="00406238" w:rsidRPr="00B30DB2" w:rsidRDefault="00406238" w:rsidP="00C07AF4">
      <w:pPr>
        <w:widowControl/>
        <w:jc w:val="both"/>
        <w:rPr>
          <w:rFonts w:ascii="Times New Roman" w:hAnsi="Times New Roman"/>
          <w:sz w:val="24"/>
          <w:szCs w:val="24"/>
        </w:rPr>
      </w:pPr>
    </w:p>
    <w:p w:rsidR="00406238" w:rsidRPr="00B30DB2" w:rsidRDefault="00C87686" w:rsidP="003840AF">
      <w:pPr>
        <w:widowControl/>
        <w:jc w:val="center"/>
        <w:rPr>
          <w:rFonts w:ascii="Times New Roman" w:hAnsi="Times New Roman"/>
          <w:sz w:val="24"/>
          <w:szCs w:val="24"/>
        </w:rPr>
      </w:pPr>
      <w:r w:rsidRPr="00B30DB2">
        <w:rPr>
          <w:rFonts w:ascii="Times New Roman" w:hAnsi="Times New Roman"/>
          <w:sz w:val="24"/>
          <w:szCs w:val="24"/>
        </w:rPr>
        <w:t>III.  CONCLUSION</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We vacate the damages award. We conclude that the proper apportionment entitles plaintiffs to 9% of the direct profits from </w:t>
      </w:r>
      <w:r w:rsidRPr="00B30DB2">
        <w:rPr>
          <w:rFonts w:ascii="Times New Roman" w:hAnsi="Times New Roman"/>
          <w:i/>
          <w:iCs/>
          <w:sz w:val="24"/>
          <w:szCs w:val="24"/>
        </w:rPr>
        <w:t>Hallelujah Hollywood</w:t>
      </w:r>
      <w:r w:rsidRPr="00B30DB2">
        <w:rPr>
          <w:rFonts w:ascii="Times New Roman" w:hAnsi="Times New Roman"/>
          <w:sz w:val="24"/>
          <w:szCs w:val="24"/>
        </w:rPr>
        <w:t xml:space="preserve">. We affirm the district court's finding as to the percentage of indirect profits attributable to </w:t>
      </w:r>
      <w:r w:rsidRPr="00B30DB2">
        <w:rPr>
          <w:rFonts w:ascii="Times New Roman" w:hAnsi="Times New Roman"/>
          <w:i/>
          <w:iCs/>
          <w:sz w:val="24"/>
          <w:szCs w:val="24"/>
        </w:rPr>
        <w:t>Hallelujah Hollywood</w:t>
      </w:r>
      <w:r w:rsidRPr="00B30DB2">
        <w:rPr>
          <w:rFonts w:ascii="Times New Roman" w:hAnsi="Times New Roman"/>
          <w:sz w:val="24"/>
          <w:szCs w:val="24"/>
        </w:rPr>
        <w:t>. We correct the award however for a mathematical error. Accordingl</w:t>
      </w:r>
      <w:r w:rsidR="003840AF">
        <w:rPr>
          <w:rFonts w:ascii="Times New Roman" w:hAnsi="Times New Roman"/>
          <w:sz w:val="24"/>
          <w:szCs w:val="24"/>
        </w:rPr>
        <w:t>y, plaintiffs are entitled to $</w:t>
      </w:r>
      <w:r w:rsidRPr="00B30DB2">
        <w:rPr>
          <w:rFonts w:ascii="Times New Roman" w:hAnsi="Times New Roman"/>
          <w:sz w:val="24"/>
          <w:szCs w:val="24"/>
        </w:rPr>
        <w:t>551,844.54 as thei</w:t>
      </w:r>
      <w:r w:rsidR="003840AF">
        <w:rPr>
          <w:rFonts w:ascii="Times New Roman" w:hAnsi="Times New Roman"/>
          <w:sz w:val="24"/>
          <w:szCs w:val="24"/>
        </w:rPr>
        <w:t>r share of direct profits and $</w:t>
      </w:r>
      <w:r w:rsidRPr="00B30DB2">
        <w:rPr>
          <w:rFonts w:ascii="Times New Roman" w:hAnsi="Times New Roman"/>
          <w:sz w:val="24"/>
          <w:szCs w:val="24"/>
        </w:rPr>
        <w:t>699,963.10 as their share of indirect profits. We conclude that prejudgment interest should have been awarded, and remand for a calculation of the appropriate amount. We reverse the district court's finding that MGM, Inc. lacked a subs</w:t>
      </w:r>
      <w:r w:rsidR="003840AF">
        <w:rPr>
          <w:rFonts w:ascii="Times New Roman" w:hAnsi="Times New Roman"/>
          <w:sz w:val="24"/>
          <w:szCs w:val="24"/>
        </w:rPr>
        <w:t xml:space="preserve">tantial and continuing [*1558] </w:t>
      </w:r>
      <w:r w:rsidRPr="00B30DB2">
        <w:rPr>
          <w:rFonts w:ascii="Times New Roman" w:hAnsi="Times New Roman"/>
          <w:sz w:val="24"/>
          <w:szCs w:val="24"/>
        </w:rPr>
        <w:t xml:space="preserve">connection with MGM Grand with respect to the infringement, and hold MGM, Inc. jointly and severally liable for the award of profits and prejudgment interest against MGM Grand. We affirm the district court's finding that </w:t>
      </w:r>
      <w:proofErr w:type="spellStart"/>
      <w:r w:rsidRPr="00B30DB2">
        <w:rPr>
          <w:rFonts w:ascii="Times New Roman" w:hAnsi="Times New Roman"/>
          <w:sz w:val="24"/>
          <w:szCs w:val="24"/>
        </w:rPr>
        <w:t>Donn</w:t>
      </w:r>
      <w:proofErr w:type="spellEnd"/>
      <w:r w:rsidRPr="00B30DB2">
        <w:rPr>
          <w:rFonts w:ascii="Times New Roman" w:hAnsi="Times New Roman"/>
          <w:sz w:val="24"/>
          <w:szCs w:val="24"/>
        </w:rPr>
        <w:t xml:space="preserve"> Arden is not jointly liable for the infringement, and decline to hold him severally liable for a separate award of profits or statutory damages. We vacate the award of attorney's fees so that the district court may make the necessary findings and </w:t>
      </w:r>
      <w:proofErr w:type="spellStart"/>
      <w:r w:rsidRPr="00B30DB2">
        <w:rPr>
          <w:rFonts w:ascii="Times New Roman" w:hAnsi="Times New Roman"/>
          <w:sz w:val="24"/>
          <w:szCs w:val="24"/>
        </w:rPr>
        <w:t>recompute</w:t>
      </w:r>
      <w:proofErr w:type="spellEnd"/>
      <w:r w:rsidRPr="00B30DB2">
        <w:rPr>
          <w:rFonts w:ascii="Times New Roman" w:hAnsi="Times New Roman"/>
          <w:sz w:val="24"/>
          <w:szCs w:val="24"/>
        </w:rPr>
        <w:t xml:space="preserve"> the amount to be awarded. We remand to the district court for further proceedings consistent with this opinion. </w:t>
      </w:r>
    </w:p>
    <w:p w:rsidR="00406238" w:rsidRPr="00B30DB2" w:rsidRDefault="00C87686" w:rsidP="00C07AF4">
      <w:pPr>
        <w:widowControl/>
        <w:spacing w:before="120"/>
        <w:ind w:firstLine="360"/>
        <w:jc w:val="both"/>
        <w:rPr>
          <w:rFonts w:ascii="Times New Roman" w:hAnsi="Times New Roman"/>
          <w:sz w:val="24"/>
          <w:szCs w:val="24"/>
        </w:rPr>
      </w:pPr>
      <w:r w:rsidRPr="00B30DB2">
        <w:rPr>
          <w:rFonts w:ascii="Times New Roman" w:hAnsi="Times New Roman"/>
          <w:sz w:val="24"/>
          <w:szCs w:val="24"/>
        </w:rPr>
        <w:t xml:space="preserve">AFFIRMED in part, REVERSED in part, and REMANDED with directions.  </w:t>
      </w:r>
    </w:p>
    <w:p w:rsidR="00406238" w:rsidRPr="00B30DB2" w:rsidRDefault="00406238" w:rsidP="00B30DB2">
      <w:pPr>
        <w:widowControl/>
        <w:suppressAutoHyphens/>
        <w:jc w:val="right"/>
        <w:rPr>
          <w:rFonts w:ascii="Times New Roman" w:hAnsi="Times New Roman"/>
          <w:sz w:val="24"/>
          <w:szCs w:val="24"/>
        </w:rPr>
      </w:pPr>
    </w:p>
    <w:sectPr w:rsidR="00406238" w:rsidRPr="00B30DB2" w:rsidSect="00406238">
      <w:headerReference w:type="default"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4A" w:rsidRDefault="0069724A">
      <w:r>
        <w:separator/>
      </w:r>
    </w:p>
  </w:endnote>
  <w:endnote w:type="continuationSeparator" w:id="0">
    <w:p w:rsidR="0069724A" w:rsidRDefault="00697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7110"/>
      <w:docPartObj>
        <w:docPartGallery w:val="Page Numbers (Bottom of Page)"/>
        <w:docPartUnique/>
      </w:docPartObj>
    </w:sdtPr>
    <w:sdtContent>
      <w:p w:rsidR="0069724A" w:rsidRDefault="0069724A">
        <w:pPr>
          <w:pStyle w:val="Footer"/>
          <w:jc w:val="center"/>
        </w:pPr>
        <w:fldSimple w:instr=" PAGE   \* MERGEFORMAT ">
          <w:r w:rsidR="003840AF">
            <w:rPr>
              <w:noProof/>
            </w:rPr>
            <w:t>1</w:t>
          </w:r>
        </w:fldSimple>
      </w:p>
    </w:sdtContent>
  </w:sdt>
  <w:p w:rsidR="0069724A" w:rsidRDefault="0069724A">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4A" w:rsidRDefault="0069724A">
      <w:r>
        <w:separator/>
      </w:r>
    </w:p>
  </w:footnote>
  <w:footnote w:type="continuationSeparator" w:id="0">
    <w:p w:rsidR="0069724A" w:rsidRDefault="0069724A">
      <w:r>
        <w:continuationSeparator/>
      </w:r>
    </w:p>
  </w:footnote>
  <w:footnote w:id="1">
    <w:p w:rsidR="0069724A" w:rsidRPr="003840AF" w:rsidRDefault="0069724A" w:rsidP="003840AF">
      <w:pPr>
        <w:widowControl/>
        <w:spacing w:after="120"/>
        <w:jc w:val="both"/>
        <w:rPr>
          <w:rFonts w:ascii="Times New Roman" w:hAnsi="Times New Roman"/>
        </w:rPr>
      </w:pPr>
      <w:r>
        <w:rPr>
          <w:rStyle w:val="FootnoteReference"/>
        </w:rPr>
        <w:footnoteRef/>
      </w:r>
      <w:r>
        <w:t xml:space="preserve"> </w:t>
      </w:r>
      <w:r>
        <w:rPr>
          <w:rFonts w:ascii="Times New Roman" w:hAnsi="Times New Roman"/>
        </w:rPr>
        <w:t>There were twelve shows weekly which ran for 100 minutes, plus three on Saturdays which ran 75, totaling 1425 minutes per week. Act IV remained constant throughout the week, for a total of approximately 173 minutes. Accor</w:t>
      </w:r>
      <w:r>
        <w:rPr>
          <w:rFonts w:ascii="Times New Roman" w:hAnsi="Times New Roman"/>
        </w:rPr>
        <w:t>d</w:t>
      </w:r>
      <w:r>
        <w:rPr>
          <w:rFonts w:ascii="Times New Roman" w:hAnsi="Times New Roman"/>
        </w:rPr>
        <w:t xml:space="preserve">ingly, Act IV comprised 12% of the total weekly running time of </w:t>
      </w:r>
      <w:r>
        <w:rPr>
          <w:rFonts w:ascii="Times New Roman" w:hAnsi="Times New Roman"/>
          <w:i/>
          <w:iCs/>
        </w:rPr>
        <w:t>Hallelujah Hollywood</w:t>
      </w:r>
      <w:r>
        <w:rPr>
          <w:rFonts w:ascii="Times New Roman" w:hAnsi="Times New Roman"/>
        </w:rPr>
        <w:t xml:space="preserve">. Because the district court's findings differ from those previously found and affirmed in </w:t>
      </w:r>
      <w:r>
        <w:rPr>
          <w:rFonts w:ascii="Times New Roman" w:hAnsi="Times New Roman"/>
          <w:i/>
          <w:iCs/>
        </w:rPr>
        <w:t>Frank Music I</w:t>
      </w:r>
      <w:r>
        <w:rPr>
          <w:rFonts w:ascii="Times New Roman" w:hAnsi="Times New Roman"/>
        </w:rPr>
        <w:t>, we substitute 12% as the appropriate figure on which we bas</w:t>
      </w:r>
      <w:r w:rsidR="003840AF">
        <w:rPr>
          <w:rFonts w:ascii="Times New Roman" w:hAnsi="Times New Roman"/>
        </w:rPr>
        <w:t xml:space="preserve">e our subsequent calculations. </w:t>
      </w:r>
    </w:p>
  </w:footnote>
  <w:footnote w:id="2">
    <w:p w:rsidR="0069724A" w:rsidRPr="003840AF" w:rsidRDefault="0069724A" w:rsidP="003840AF">
      <w:pPr>
        <w:pStyle w:val="FootnoteText"/>
        <w:spacing w:after="120"/>
        <w:jc w:val="both"/>
        <w:rPr>
          <w:rFonts w:ascii="Times New Roman" w:hAnsi="Times New Roman"/>
        </w:rPr>
      </w:pPr>
      <w:r>
        <w:rPr>
          <w:rStyle w:val="FootnoteReference"/>
        </w:rPr>
        <w:footnoteRef/>
      </w:r>
      <w:r>
        <w:t xml:space="preserve"> </w:t>
      </w:r>
      <w:r>
        <w:rPr>
          <w:rFonts w:ascii="Times New Roman" w:hAnsi="Times New Roman"/>
        </w:rPr>
        <w:t>Based on this allocation, plaintiffs are entitled to $551,844.54 as direct</w:t>
      </w:r>
      <w:r w:rsidR="003840AF">
        <w:rPr>
          <w:rFonts w:ascii="Times New Roman" w:hAnsi="Times New Roman"/>
        </w:rPr>
        <w:t xml:space="preserve"> profits from the infringement.</w:t>
      </w:r>
    </w:p>
  </w:footnote>
  <w:footnote w:id="3">
    <w:p w:rsidR="0069724A" w:rsidRPr="003840AF" w:rsidRDefault="0069724A" w:rsidP="003840AF">
      <w:pPr>
        <w:widowControl/>
        <w:spacing w:after="120"/>
        <w:jc w:val="both"/>
        <w:rPr>
          <w:rFonts w:ascii="Times New Roman" w:hAnsi="Times New Roman"/>
        </w:rPr>
      </w:pPr>
      <w:r>
        <w:rPr>
          <w:rStyle w:val="FootnoteReference"/>
        </w:rPr>
        <w:footnoteRef/>
      </w:r>
      <w:r>
        <w:t xml:space="preserve"> </w:t>
      </w:r>
      <w:r>
        <w:rPr>
          <w:rFonts w:ascii="Times New Roman" w:hAnsi="Times New Roman"/>
        </w:rPr>
        <w:t>We do, however, need to correct an error in calculation or typography noted by the plaintiffs. In subtracting MGM Grand's direct profits of $6,131,606 from its total net profit of approximately $395,000,000, the district court arrived at the figure of $380,868,394. The correct figure is $388,868,394. Plaintiffs are entitled to 9% (75% of 12%) of 2% of this figure, or $</w:t>
      </w:r>
      <w:r w:rsidR="003840AF">
        <w:rPr>
          <w:rFonts w:ascii="Times New Roman" w:hAnsi="Times New Roman"/>
        </w:rPr>
        <w:t xml:space="preserve">699,963.10. </w:t>
      </w:r>
    </w:p>
  </w:footnote>
  <w:footnote w:id="4">
    <w:p w:rsidR="0069724A" w:rsidRPr="003840AF" w:rsidRDefault="0069724A" w:rsidP="003840AF">
      <w:pPr>
        <w:pStyle w:val="FootnoteText"/>
        <w:spacing w:after="120"/>
        <w:jc w:val="both"/>
        <w:rPr>
          <w:rFonts w:ascii="Times New Roman" w:hAnsi="Times New Roman"/>
        </w:rPr>
      </w:pPr>
      <w:r>
        <w:rPr>
          <w:rStyle w:val="FootnoteReference"/>
        </w:rPr>
        <w:footnoteRef/>
      </w:r>
      <w:r>
        <w:t xml:space="preserve"> </w:t>
      </w:r>
      <w:r>
        <w:rPr>
          <w:rFonts w:ascii="Times New Roman" w:hAnsi="Times New Roman"/>
        </w:rPr>
        <w:t>Prejudgment interest will, of course, be available on both the direct and indirect profits earned by MGM Grand, since both forms of profit are equally attributable to the infringeme</w:t>
      </w:r>
      <w:r w:rsidR="003840AF">
        <w:rPr>
          <w:rFonts w:ascii="Times New Roman" w:hAnsi="Times New Roman"/>
        </w:rPr>
        <w:t>nt.</w:t>
      </w:r>
    </w:p>
  </w:footnote>
  <w:footnote w:id="5">
    <w:p w:rsidR="0069724A" w:rsidRPr="003840AF" w:rsidRDefault="0069724A" w:rsidP="003840AF">
      <w:pPr>
        <w:widowControl/>
        <w:spacing w:after="120"/>
        <w:jc w:val="both"/>
        <w:rPr>
          <w:rFonts w:ascii="Times New Roman" w:hAnsi="Times New Roman"/>
        </w:rPr>
      </w:pPr>
      <w:r>
        <w:rPr>
          <w:rStyle w:val="FootnoteReference"/>
        </w:rPr>
        <w:footnoteRef/>
      </w:r>
      <w:r>
        <w:t xml:space="preserve"> </w:t>
      </w:r>
      <w:r>
        <w:rPr>
          <w:rFonts w:ascii="Times New Roman" w:hAnsi="Times New Roman"/>
        </w:rPr>
        <w:t>Plaintiffs requested prejudgment interest only from the date of the last infringing performance. This is an acceptable date from which to start the running of interest. We need not decide in this case whether an award of prejudgment inte</w:t>
      </w:r>
      <w:r>
        <w:rPr>
          <w:rFonts w:ascii="Times New Roman" w:hAnsi="Times New Roman"/>
        </w:rPr>
        <w:t>r</w:t>
      </w:r>
      <w:r>
        <w:rPr>
          <w:rFonts w:ascii="Times New Roman" w:hAnsi="Times New Roman"/>
        </w:rPr>
        <w:t>est from some earlier point in time, such as the first infringement or date o</w:t>
      </w:r>
      <w:r w:rsidR="003840AF">
        <w:rPr>
          <w:rFonts w:ascii="Times New Roman" w:hAnsi="Times New Roman"/>
        </w:rPr>
        <w:t>f notice, would be appropriate.</w:t>
      </w:r>
    </w:p>
  </w:footnote>
  <w:footnote w:id="6">
    <w:p w:rsidR="0069724A" w:rsidRPr="003840AF" w:rsidRDefault="0069724A" w:rsidP="003840AF">
      <w:pPr>
        <w:widowControl/>
        <w:spacing w:after="120"/>
        <w:jc w:val="both"/>
        <w:rPr>
          <w:rFonts w:ascii="Times New Roman" w:hAnsi="Times New Roman"/>
        </w:rPr>
      </w:pPr>
      <w:r>
        <w:rPr>
          <w:rStyle w:val="FootnoteReference"/>
        </w:rPr>
        <w:footnoteRef/>
      </w:r>
      <w:r>
        <w:t xml:space="preserve"> </w:t>
      </w:r>
      <w:r>
        <w:rPr>
          <w:rFonts w:ascii="Times New Roman" w:hAnsi="Times New Roman"/>
        </w:rPr>
        <w:t xml:space="preserve">Thus, the result would be the same in this case even if the showroom where </w:t>
      </w:r>
      <w:r>
        <w:rPr>
          <w:rFonts w:ascii="Times New Roman" w:hAnsi="Times New Roman"/>
          <w:i/>
          <w:iCs/>
        </w:rPr>
        <w:t>Hallelujah Hollywood</w:t>
      </w:r>
      <w:r>
        <w:rPr>
          <w:rFonts w:ascii="Times New Roman" w:hAnsi="Times New Roman"/>
        </w:rPr>
        <w:t xml:space="preserve"> was performed were a distinct corporate entity from the hotel as a </w:t>
      </w:r>
      <w:proofErr w:type="gramStart"/>
      <w:r>
        <w:rPr>
          <w:rFonts w:ascii="Times New Roman" w:hAnsi="Times New Roman"/>
        </w:rPr>
        <w:t>whole,</w:t>
      </w:r>
      <w:proofErr w:type="gramEnd"/>
      <w:r>
        <w:rPr>
          <w:rFonts w:ascii="Times New Roman" w:hAnsi="Times New Roman"/>
        </w:rPr>
        <w:t xml:space="preserve"> provided there was the requisite relationship between the two with respect to the infringement. </w:t>
      </w:r>
      <w:r>
        <w:rPr>
          <w:rFonts w:ascii="Times New Roman" w:hAnsi="Times New Roman"/>
          <w:i/>
          <w:iCs/>
        </w:rPr>
        <w:t>See generally Shapiro, Bernstein &amp; Co. v. H.L. Green Co.</w:t>
      </w:r>
      <w:r>
        <w:rPr>
          <w:rFonts w:ascii="Times New Roman" w:hAnsi="Times New Roman"/>
        </w:rPr>
        <w:t>, 316 F.2d 304, 307 (2d Cir. 1963) ("When the right and ability to supervise coalesce with an obvious and direct financial interest in the exploitation of copyrighted materials -- even in the absence of knowledge [of the infringement] -- the purposes of copyright law may be best effectuated by the imposition of liability upon the beneficiary of that exploitation."). Sim</w:t>
      </w:r>
      <w:r>
        <w:rPr>
          <w:rFonts w:ascii="Times New Roman" w:hAnsi="Times New Roman"/>
        </w:rPr>
        <w:t>i</w:t>
      </w:r>
      <w:r>
        <w:rPr>
          <w:rFonts w:ascii="Times New Roman" w:hAnsi="Times New Roman"/>
        </w:rPr>
        <w:t>larly, had MGM, Inc. received a more definite, ascertainable financial benefit from the infringement, beyond the profits received by its hotel subsidiary, an award reaching those profits would be entirely proper. Joint liability for profits among interrelated corp</w:t>
      </w:r>
      <w:r>
        <w:rPr>
          <w:rFonts w:ascii="Times New Roman" w:hAnsi="Times New Roman"/>
        </w:rPr>
        <w:t>o</w:t>
      </w:r>
      <w:r>
        <w:rPr>
          <w:rFonts w:ascii="Times New Roman" w:hAnsi="Times New Roman"/>
        </w:rPr>
        <w:t xml:space="preserve">rate defendants serves the purpose of giving a successful copyright plaintiff its due reward without subjecting that award to the vagaries of corporate </w:t>
      </w:r>
      <w:proofErr w:type="gramStart"/>
      <w:r>
        <w:rPr>
          <w:rFonts w:ascii="Times New Roman" w:hAnsi="Times New Roman"/>
        </w:rPr>
        <w:t>structures which</w:t>
      </w:r>
      <w:proofErr w:type="gramEnd"/>
      <w:r>
        <w:rPr>
          <w:rFonts w:ascii="Times New Roman" w:hAnsi="Times New Roman"/>
        </w:rPr>
        <w:t>, in the context of the particular infringement, sh</w:t>
      </w:r>
      <w:r w:rsidR="003840AF">
        <w:rPr>
          <w:rFonts w:ascii="Times New Roman" w:hAnsi="Times New Roman"/>
        </w:rPr>
        <w:t xml:space="preserve">ould in fairness be ignored. </w:t>
      </w:r>
    </w:p>
  </w:footnote>
  <w:footnote w:id="7">
    <w:p w:rsidR="0069724A" w:rsidRPr="003840AF" w:rsidRDefault="0069724A" w:rsidP="003840AF">
      <w:pPr>
        <w:widowControl/>
        <w:spacing w:after="120"/>
        <w:jc w:val="both"/>
        <w:rPr>
          <w:rFonts w:ascii="Times New Roman" w:hAnsi="Times New Roman"/>
        </w:rPr>
      </w:pPr>
      <w:r>
        <w:rPr>
          <w:rStyle w:val="FootnoteReference"/>
        </w:rPr>
        <w:footnoteRef/>
      </w:r>
      <w:r>
        <w:t xml:space="preserve"> </w:t>
      </w:r>
      <w:r>
        <w:rPr>
          <w:rFonts w:ascii="Times New Roman" w:hAnsi="Times New Roman"/>
        </w:rPr>
        <w:t>17 U.S.C. § 116 (1909 Act) provides: "the court may award to the prevailing party a reasonable attorney's fee as part of the costs." 17 U.S.C. § 505 (1976 Act) provides for attorney's fees in</w:t>
      </w:r>
      <w:r w:rsidR="003840AF">
        <w:rPr>
          <w:rFonts w:ascii="Times New Roman" w:hAnsi="Times New Roman"/>
        </w:rPr>
        <w:t xml:space="preserve"> virtually identical language.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4A" w:rsidRDefault="0069724A">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25C69"/>
    <w:rsid w:val="00003F97"/>
    <w:rsid w:val="001A3EBA"/>
    <w:rsid w:val="003840AF"/>
    <w:rsid w:val="00406238"/>
    <w:rsid w:val="004A5C76"/>
    <w:rsid w:val="00525C69"/>
    <w:rsid w:val="005D2BB7"/>
    <w:rsid w:val="005D4272"/>
    <w:rsid w:val="0068793E"/>
    <w:rsid w:val="0069724A"/>
    <w:rsid w:val="007E02A0"/>
    <w:rsid w:val="008316A6"/>
    <w:rsid w:val="00985C05"/>
    <w:rsid w:val="00AE40C8"/>
    <w:rsid w:val="00B30DB2"/>
    <w:rsid w:val="00C07AF4"/>
    <w:rsid w:val="00C87686"/>
    <w:rsid w:val="00D96C0E"/>
    <w:rsid w:val="00F94CB3"/>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38"/>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8793E"/>
    <w:pPr>
      <w:tabs>
        <w:tab w:val="center" w:pos="4680"/>
        <w:tab w:val="right" w:pos="9360"/>
      </w:tabs>
    </w:pPr>
  </w:style>
  <w:style w:type="character" w:customStyle="1" w:styleId="HeaderChar">
    <w:name w:val="Header Char"/>
    <w:basedOn w:val="DefaultParagraphFont"/>
    <w:link w:val="Header"/>
    <w:uiPriority w:val="99"/>
    <w:semiHidden/>
    <w:rsid w:val="0068793E"/>
    <w:rPr>
      <w:rFonts w:ascii="Courier" w:hAnsi="Courier"/>
    </w:rPr>
  </w:style>
  <w:style w:type="paragraph" w:styleId="Footer">
    <w:name w:val="footer"/>
    <w:basedOn w:val="Normal"/>
    <w:link w:val="FooterChar"/>
    <w:uiPriority w:val="99"/>
    <w:unhideWhenUsed/>
    <w:rsid w:val="0068793E"/>
    <w:pPr>
      <w:tabs>
        <w:tab w:val="center" w:pos="4680"/>
        <w:tab w:val="right" w:pos="9360"/>
      </w:tabs>
    </w:pPr>
  </w:style>
  <w:style w:type="character" w:customStyle="1" w:styleId="FooterChar">
    <w:name w:val="Footer Char"/>
    <w:basedOn w:val="DefaultParagraphFont"/>
    <w:link w:val="Footer"/>
    <w:uiPriority w:val="99"/>
    <w:rsid w:val="0068793E"/>
    <w:rPr>
      <w:rFonts w:ascii="Courier" w:hAnsi="Courier"/>
    </w:rPr>
  </w:style>
  <w:style w:type="paragraph" w:styleId="FootnoteText">
    <w:name w:val="footnote text"/>
    <w:basedOn w:val="Normal"/>
    <w:link w:val="FootnoteTextChar"/>
    <w:uiPriority w:val="99"/>
    <w:semiHidden/>
    <w:unhideWhenUsed/>
    <w:rsid w:val="0068793E"/>
  </w:style>
  <w:style w:type="character" w:customStyle="1" w:styleId="FootnoteTextChar">
    <w:name w:val="Footnote Text Char"/>
    <w:basedOn w:val="DefaultParagraphFont"/>
    <w:link w:val="FootnoteText"/>
    <w:uiPriority w:val="99"/>
    <w:semiHidden/>
    <w:rsid w:val="0068793E"/>
    <w:rPr>
      <w:rFonts w:ascii="Courier" w:hAnsi="Courier"/>
    </w:rPr>
  </w:style>
  <w:style w:type="character" w:styleId="FootnoteReference">
    <w:name w:val="footnote reference"/>
    <w:basedOn w:val="DefaultParagraphFont"/>
    <w:uiPriority w:val="99"/>
    <w:semiHidden/>
    <w:unhideWhenUsed/>
    <w:rsid w:val="0068793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673AC-5B8E-FF42-9A3B-D29ED126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3272</Words>
  <Characters>18654</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cp:lastModifiedBy>Berkman Center</cp:lastModifiedBy>
  <cp:revision>7</cp:revision>
  <dcterms:created xsi:type="dcterms:W3CDTF">2010-11-13T23:29:00Z</dcterms:created>
  <dcterms:modified xsi:type="dcterms:W3CDTF">2010-11-13T23:53:00Z</dcterms:modified>
</cp:coreProperties>
</file>